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383F8749"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w:t>
      </w:r>
      <w:r w:rsidR="005461C0">
        <w:rPr>
          <w:rFonts w:ascii="Times New Roman" w:hAnsi="Times New Roman"/>
          <w:b/>
          <w:i/>
          <w:sz w:val="24"/>
          <w:szCs w:val="24"/>
          <w:lang w:val="nl-NL"/>
        </w:rPr>
        <w:t xml:space="preserve">Quý </w:t>
      </w:r>
      <w:r w:rsidR="00A002EB">
        <w:rPr>
          <w:rFonts w:ascii="Times New Roman" w:hAnsi="Times New Roman"/>
          <w:b/>
          <w:i/>
          <w:sz w:val="24"/>
          <w:szCs w:val="24"/>
          <w:lang w:val="nl-NL"/>
        </w:rPr>
        <w:t>I</w:t>
      </w:r>
      <w:r w:rsidR="00C31909">
        <w:rPr>
          <w:rFonts w:ascii="Times New Roman" w:hAnsi="Times New Roman"/>
          <w:b/>
          <w:i/>
          <w:sz w:val="24"/>
          <w:szCs w:val="24"/>
          <w:lang w:val="nl-NL"/>
        </w:rPr>
        <w:t>V</w:t>
      </w:r>
      <w:r w:rsidR="00A002EB">
        <w:rPr>
          <w:rFonts w:ascii="Times New Roman" w:hAnsi="Times New Roman"/>
          <w:b/>
          <w:i/>
          <w:sz w:val="24"/>
          <w:szCs w:val="24"/>
          <w:lang w:val="nl-NL"/>
        </w:rPr>
        <w:t>/</w:t>
      </w:r>
      <w:r w:rsidR="005461C0">
        <w:rPr>
          <w:rFonts w:ascii="Times New Roman" w:hAnsi="Times New Roman"/>
          <w:b/>
          <w:i/>
          <w:sz w:val="24"/>
          <w:szCs w:val="24"/>
          <w:lang w:val="nl-NL"/>
        </w:rPr>
        <w:t xml:space="preserve"> </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w:t>
      </w:r>
      <w:r w:rsidR="00E67E98">
        <w:rPr>
          <w:rFonts w:ascii="Times New Roman" w:hAnsi="Times New Roman"/>
          <w:b/>
          <w:i/>
          <w:sz w:val="24"/>
          <w:szCs w:val="24"/>
          <w:lang w:val="nl-NL"/>
        </w:rPr>
        <w:t>3</w:t>
      </w:r>
      <w:r w:rsidRPr="00A90AB7">
        <w:rPr>
          <w:rFonts w:ascii="Times New Roman" w:hAnsi="Times New Roman"/>
          <w:b/>
          <w:i/>
          <w:sz w:val="24"/>
          <w:szCs w:val="24"/>
          <w:lang w:val="nl-NL"/>
        </w:rPr>
        <w:t>)</w:t>
      </w:r>
    </w:p>
    <w:p w14:paraId="57F92425" w14:textId="5D3AAA08" w:rsidR="00BE6F63" w:rsidRPr="00A90AB7"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Pr>
          <w:rFonts w:ascii="Times New Roman" w:hAnsi="Times New Roman"/>
          <w:b/>
          <w:sz w:val="24"/>
          <w:szCs w:val="24"/>
          <w:lang w:val="nl-NL"/>
        </w:rPr>
        <w:t>1</w:t>
      </w:r>
      <w:r w:rsidR="00BE6F63" w:rsidRPr="00A90AB7">
        <w:rPr>
          <w:rFonts w:ascii="Times New Roman" w:hAnsi="Times New Roman"/>
          <w:b/>
          <w:sz w:val="24"/>
          <w:szCs w:val="24"/>
          <w:lang w:val="nl-NL"/>
        </w:rPr>
        <w:t>. Thông tin chung về Quỹ</w:t>
      </w:r>
      <w:r w:rsidR="00494F7E" w:rsidRPr="00A90AB7">
        <w:rPr>
          <w:rFonts w:ascii="Times New Roman" w:hAnsi="Times New Roman"/>
          <w:b/>
          <w:sz w:val="24"/>
          <w:szCs w:val="24"/>
          <w:lang w:val="nl-NL"/>
        </w:rPr>
        <w:t xml:space="preserve"> Đầu Tư Tăng Trư</w:t>
      </w:r>
      <w:r w:rsidR="00B77864">
        <w:rPr>
          <w:rFonts w:ascii="Times New Roman" w:hAnsi="Times New Roman"/>
          <w:b/>
          <w:sz w:val="24"/>
          <w:szCs w:val="24"/>
          <w:lang w:val="nl-NL"/>
        </w:rPr>
        <w:t>ở</w:t>
      </w:r>
      <w:r w:rsidR="00494F7E" w:rsidRPr="00A90AB7">
        <w:rPr>
          <w:rFonts w:ascii="Times New Roman" w:hAnsi="Times New Roman"/>
          <w:b/>
          <w:sz w:val="24"/>
          <w:szCs w:val="24"/>
          <w:lang w:val="nl-NL"/>
        </w:rPr>
        <w:t xml:space="preserve">ng </w:t>
      </w:r>
      <w:r w:rsidR="00494F7E" w:rsidRPr="00FA0348">
        <w:rPr>
          <w:rFonts w:ascii="Times New Roman" w:hAnsi="Times New Roman"/>
          <w:b/>
          <w:sz w:val="24"/>
          <w:szCs w:val="24"/>
          <w:lang w:val="nl-NL"/>
        </w:rPr>
        <w:t xml:space="preserve">DFVN </w:t>
      </w:r>
      <w:r w:rsidR="00826BB2" w:rsidRPr="00FA0348">
        <w:rPr>
          <w:rFonts w:ascii="Times New Roman" w:hAnsi="Times New Roman"/>
          <w:b/>
          <w:sz w:val="24"/>
          <w:szCs w:val="24"/>
          <w:lang w:val="nl-NL"/>
        </w:rPr>
        <w:t xml:space="preserve">(DFVN </w:t>
      </w:r>
      <w:r w:rsidR="00494F7E" w:rsidRPr="00FA0348">
        <w:rPr>
          <w:rFonts w:ascii="Times New Roman" w:hAnsi="Times New Roman"/>
          <w:b/>
          <w:sz w:val="24"/>
          <w:szCs w:val="24"/>
          <w:lang w:val="nl-NL"/>
        </w:rPr>
        <w:t>– CAF</w:t>
      </w:r>
      <w:r w:rsidR="00826BB2" w:rsidRPr="00FA0348">
        <w:rPr>
          <w:rFonts w:ascii="Times New Roman" w:hAnsi="Times New Roman"/>
          <w:b/>
          <w:sz w:val="24"/>
          <w:szCs w:val="24"/>
          <w:lang w:val="nl-NL"/>
        </w:rPr>
        <w:t>)</w:t>
      </w:r>
    </w:p>
    <w:bookmarkEnd w:id="0"/>
    <w:p w14:paraId="0BEC9635" w14:textId="03C8E49F" w:rsidR="00BE6F63" w:rsidRPr="004E180A" w:rsidRDefault="00BE6F63" w:rsidP="004E180A">
      <w:pPr>
        <w:tabs>
          <w:tab w:val="left" w:pos="540"/>
        </w:tabs>
        <w:spacing w:before="120" w:after="0" w:line="240" w:lineRule="auto"/>
        <w:jc w:val="both"/>
        <w:rPr>
          <w:rFonts w:ascii="Times New Roman" w:hAnsi="Times New Roman"/>
          <w:b/>
          <w:sz w:val="24"/>
          <w:szCs w:val="24"/>
          <w:lang w:val="nl-NL"/>
        </w:rPr>
      </w:pPr>
      <w:r w:rsidRPr="004E180A">
        <w:rPr>
          <w:rFonts w:ascii="Times New Roman" w:hAnsi="Times New Roman"/>
          <w:b/>
          <w:sz w:val="24"/>
          <w:szCs w:val="24"/>
          <w:lang w:val="nl-NL"/>
        </w:rPr>
        <w:t>1.</w:t>
      </w:r>
      <w:r w:rsidR="00A44447" w:rsidRPr="004E180A">
        <w:rPr>
          <w:rFonts w:ascii="Times New Roman" w:hAnsi="Times New Roman"/>
          <w:b/>
          <w:sz w:val="24"/>
          <w:szCs w:val="24"/>
          <w:lang w:val="nl-NL"/>
        </w:rPr>
        <w:t>1.</w:t>
      </w:r>
      <w:r w:rsidRPr="004E180A">
        <w:rPr>
          <w:rFonts w:ascii="Times New Roman" w:hAnsi="Times New Roman"/>
          <w:b/>
          <w:sz w:val="24"/>
          <w:szCs w:val="24"/>
          <w:lang w:val="nl-NL"/>
        </w:rPr>
        <w:t xml:space="preserve"> Mục tiêu của Quỹ:</w:t>
      </w:r>
    </w:p>
    <w:p w14:paraId="1EDD510C" w14:textId="77777777" w:rsidR="00A44447" w:rsidRPr="00C47453"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424BCD">
        <w:rPr>
          <w:rFonts w:ascii="Times New Roman" w:hAnsi="Times New Roman"/>
          <w:sz w:val="24"/>
          <w:szCs w:val="24"/>
          <w:lang w:val="nl-NL"/>
        </w:rPr>
        <w:t>Quỹ đặt mục tiêu tăng trưởng vốn và tài sản của nhà đầu tư, phấn đấu cao hơn mức tăng trưởng của Thị trường Chứng khoán Việt Nam (VN-Index) trong dài hạn, bằng việc đầu tư chủ yếu vào các cổ phiếu niêm yết trên Thị trường Chứng khoán Việt Nam.</w:t>
      </w:r>
    </w:p>
    <w:p w14:paraId="72ED9833" w14:textId="3D91D676" w:rsidR="00BE6F63" w:rsidRPr="008B0C11"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4E180A">
        <w:rPr>
          <w:rFonts w:ascii="Times New Roman" w:hAnsi="Times New Roman"/>
          <w:b/>
          <w:sz w:val="24"/>
          <w:szCs w:val="24"/>
          <w:lang w:val="nl-NL"/>
        </w:rPr>
        <w:t>1.</w:t>
      </w:r>
      <w:r w:rsidR="00BE6F63" w:rsidRPr="004E180A">
        <w:rPr>
          <w:rFonts w:ascii="Times New Roman" w:hAnsi="Times New Roman"/>
          <w:b/>
          <w:sz w:val="24"/>
          <w:szCs w:val="24"/>
          <w:lang w:val="nl-NL"/>
        </w:rPr>
        <w:t>2. Hiệu quả hoạt động của Quỹ:</w:t>
      </w:r>
    </w:p>
    <w:p w14:paraId="0E1F1D42" w14:textId="1946A3FD" w:rsidR="0095587A" w:rsidRPr="00845924" w:rsidRDefault="0095587A" w:rsidP="0083372E">
      <w:p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 xml:space="preserve">Tính đến cuối kỳ báo cáo, thay đổi giá trị tài sản </w:t>
      </w:r>
      <w:r w:rsidRPr="00845924">
        <w:rPr>
          <w:rFonts w:ascii="Times New Roman" w:hAnsi="Times New Roman"/>
          <w:sz w:val="24"/>
          <w:szCs w:val="24"/>
          <w:lang w:val="nl-NL"/>
        </w:rPr>
        <w:t xml:space="preserve">ròng (NAV) của Quỹ là </w:t>
      </w:r>
      <w:r w:rsidR="00010F11" w:rsidRPr="00845924">
        <w:rPr>
          <w:rFonts w:ascii="Times New Roman" w:hAnsi="Times New Roman"/>
          <w:sz w:val="24"/>
          <w:szCs w:val="24"/>
          <w:lang w:val="nl-NL"/>
        </w:rPr>
        <w:t xml:space="preserve">2.62% </w:t>
      </w:r>
      <w:r w:rsidRPr="00845924">
        <w:rPr>
          <w:rFonts w:ascii="Times New Roman" w:hAnsi="Times New Roman"/>
          <w:sz w:val="24"/>
          <w:szCs w:val="24"/>
          <w:lang w:val="nl-NL"/>
        </w:rPr>
        <w:t>so với giá trị tài sản ròng của quỹ đầu kỳ báo cáo.</w:t>
      </w:r>
    </w:p>
    <w:p w14:paraId="0CB40711" w14:textId="655F2519" w:rsidR="00BE6F63" w:rsidRPr="00845924"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845924">
        <w:rPr>
          <w:rFonts w:ascii="Times New Roman" w:hAnsi="Times New Roman"/>
          <w:b/>
          <w:sz w:val="24"/>
          <w:szCs w:val="24"/>
          <w:lang w:val="nl-NL"/>
        </w:rPr>
        <w:t>1.</w:t>
      </w:r>
      <w:r w:rsidR="00BE6F63" w:rsidRPr="00845924">
        <w:rPr>
          <w:rFonts w:ascii="Times New Roman" w:hAnsi="Times New Roman"/>
          <w:b/>
          <w:sz w:val="24"/>
          <w:szCs w:val="24"/>
          <w:lang w:val="nl-NL"/>
        </w:rPr>
        <w:t>3. Chính sách và chiến lược đầu tư của Quỹ:</w:t>
      </w:r>
    </w:p>
    <w:p w14:paraId="6DFC5489" w14:textId="77777777" w:rsidR="005E77D1" w:rsidRPr="008B0C11" w:rsidRDefault="005E77D1" w:rsidP="005E77D1">
      <w:pPr>
        <w:shd w:val="clear" w:color="auto" w:fill="FFFFFF"/>
        <w:tabs>
          <w:tab w:val="left" w:pos="540"/>
        </w:tabs>
        <w:spacing w:before="120" w:after="0" w:line="240" w:lineRule="auto"/>
        <w:jc w:val="both"/>
        <w:rPr>
          <w:rFonts w:ascii="Times New Roman" w:hAnsi="Times New Roman"/>
          <w:b/>
          <w:sz w:val="24"/>
          <w:szCs w:val="24"/>
          <w:lang w:val="nl-NL"/>
        </w:rPr>
      </w:pPr>
      <w:r w:rsidRPr="008B0C11">
        <w:rPr>
          <w:rFonts w:ascii="Times New Roman" w:hAnsi="Times New Roman"/>
          <w:b/>
          <w:sz w:val="24"/>
          <w:szCs w:val="24"/>
          <w:lang w:val="nl-NL"/>
        </w:rPr>
        <w:t>Chiến lược đầu tư:</w:t>
      </w:r>
    </w:p>
    <w:p w14:paraId="55D6ED67" w14:textId="2A9939E5" w:rsidR="00A44447" w:rsidRPr="008B0C11"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Quỹ sẽ đầu tư vào một danh mục đầu tư đa dạng hóa bao gồm các cổ phiếu niêm yết có mức vốn hóa lớn trên Thị trường Chứng khoán Việt Nam. Việc lựa chọn ngành nghề và công ty được thực hiện trên cơ sở đánh giá giá trị, phân tích cơ bản và đánh giá các yếu tố thị trường. Điều kiện lựa chọn công ty như sau:</w:t>
      </w:r>
    </w:p>
    <w:p w14:paraId="315E5EF6" w14:textId="6BB5AA4C"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Là công ty trong nhóm dẫn đầu ngành nghề kinh doanh;</w:t>
      </w:r>
    </w:p>
    <w:p w14:paraId="0C6DD558" w14:textId="62FC21C7"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Có tình trạng tài chính lành mạnh;</w:t>
      </w:r>
    </w:p>
    <w:p w14:paraId="6C9E3981" w14:textId="668CE936"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Có dòng tiền ổn định, chất lượng tài sản tốt; và</w:t>
      </w:r>
    </w:p>
    <w:p w14:paraId="0D10EDF9" w14:textId="38A7A6FB"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Có hệ thống quản trị doanh nghiệp tin cậy.</w:t>
      </w:r>
    </w:p>
    <w:p w14:paraId="7B2DE438" w14:textId="534EE247" w:rsidR="00A44447" w:rsidRPr="008B0C11"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Lĩnh vực đầu tư chính của Quỹ là tập trung vào cổ phiếu niêm yết trên các Sở Giao dịch Chứng khoán, cổ phiếu sắp niêm yết và các cổ phiếu doanh nghiệp cổ phần hóa.</w:t>
      </w:r>
    </w:p>
    <w:p w14:paraId="0A7BF163" w14:textId="77777777" w:rsidR="005146DD" w:rsidRPr="008B0C11" w:rsidRDefault="005146DD" w:rsidP="005146DD">
      <w:pPr>
        <w:shd w:val="clear" w:color="auto" w:fill="FFFFFF"/>
        <w:tabs>
          <w:tab w:val="left" w:pos="540"/>
        </w:tabs>
        <w:spacing w:before="120" w:after="0" w:line="240" w:lineRule="auto"/>
        <w:jc w:val="both"/>
        <w:rPr>
          <w:rFonts w:ascii="Times New Roman" w:hAnsi="Times New Roman"/>
          <w:b/>
          <w:sz w:val="24"/>
          <w:szCs w:val="24"/>
          <w:lang w:val="nl-NL"/>
        </w:rPr>
      </w:pPr>
      <w:r w:rsidRPr="008B0C11">
        <w:rPr>
          <w:rFonts w:ascii="Times New Roman" w:hAnsi="Times New Roman"/>
          <w:b/>
          <w:sz w:val="24"/>
          <w:szCs w:val="24"/>
          <w:lang w:val="nl-NL"/>
        </w:rPr>
        <w:t>Tài sản được phép đầu tư:</w:t>
      </w:r>
    </w:p>
    <w:p w14:paraId="3AE59F8E" w14:textId="34E49D2F"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Tiền gửi có kỳ hạn tại các ngân hàng thương mại theo quy định của pháp luật về ngân hàng;</w:t>
      </w:r>
    </w:p>
    <w:p w14:paraId="1626DD3C" w14:textId="77E51D01"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Công cụ thị trường tiền tệ bao gồm giấy tờ có giá, công cụ chuyển nhượng theo quy định của pháp luật liên quan;</w:t>
      </w:r>
    </w:p>
    <w:p w14:paraId="6C021325" w14:textId="11BAD0FD"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Công cụ nợ của Chính phủ, trái phiếu được Chính phủ bảo lãnh, trái phiếu chính quyền địa phương;</w:t>
      </w:r>
    </w:p>
    <w:p w14:paraId="26A5762B" w14:textId="557C3F6C"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Cổ phiếu niêm yết, cổ phiếu đăng ký giao dịch, trái phiếu niêm yết trên Sở Giao dịch Chứng khoán, chứng chỉ quỹ đại chúng;</w:t>
      </w:r>
    </w:p>
    <w:p w14:paraId="34B30FB0" w14:textId="4F726446"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Cổ phiếu chào bán lần đầu ra công chúng, trái phiếu chào bán ra</w:t>
      </w:r>
      <w:r w:rsidRPr="00A44447">
        <w:rPr>
          <w:rFonts w:ascii="Times New Roman" w:hAnsi="Times New Roman"/>
          <w:sz w:val="24"/>
          <w:szCs w:val="24"/>
          <w:lang w:val="nl-NL"/>
        </w:rPr>
        <w:t xml:space="preserve"> công chúng, trái phiếu doanh nghiệp phát hành riêng lẻ bởi tổ chức niêm yết có bảo lãnh thanh toán của tổ chức tín dụng hoặc cam kết mua lại của tổ chức phát hành tối thiểu một (1) lần trong mười hai (12) tháng và mỗi lần cam kết mua lại tối thiểu ba mươi phần trăm (30%) giá trị đợt phát hành. Việc đầu tư vào các tài sản tại điểm này phải đáp ứng các điều kiện sau:</w:t>
      </w:r>
    </w:p>
    <w:p w14:paraId="546D9207" w14:textId="3895FCFB" w:rsidR="00A44447" w:rsidRPr="00A44447" w:rsidRDefault="00A44447" w:rsidP="00A44447">
      <w:pPr>
        <w:pStyle w:val="ListParagraph"/>
        <w:numPr>
          <w:ilvl w:val="0"/>
          <w:numId w:val="15"/>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lastRenderedPageBreak/>
        <w:t>Có sự chấp thuận bằng văn bản của Ban Đại diện Quỹ về loại, mã chứng khoán, số lượng, giá trị giao dịch, thời điểm thực hiện; có quy định tại Bản Cáo bạch; và</w:t>
      </w:r>
    </w:p>
    <w:p w14:paraId="0A87EE23" w14:textId="1EBED575" w:rsidR="00A44447" w:rsidRPr="00A44447" w:rsidRDefault="00A44447" w:rsidP="00A44447">
      <w:pPr>
        <w:pStyle w:val="ListParagraph"/>
        <w:numPr>
          <w:ilvl w:val="0"/>
          <w:numId w:val="15"/>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Có đủ tài liệu chứng minh về bảo lãnh thanh toán hoặc tài liệu về cam kết mua lại của tổ chức phát hành.</w:t>
      </w:r>
    </w:p>
    <w:p w14:paraId="1BC77528" w14:textId="24E136B3"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Chứng khoán phái sinh niêm yết, giao dịch tại Sở Giao dịch Chứng khoán và chỉ nhằm mục tiêu phòng ngừa rủi ro cho chứng khoán cơ sở mà Quỹ đang nắm giữ; và</w:t>
      </w:r>
    </w:p>
    <w:p w14:paraId="4DE63B19" w14:textId="6E9640DB"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Quyền phát sinh gắn liền với chứng khoán mà Quỹ đang nắm giữ.</w:t>
      </w:r>
    </w:p>
    <w:p w14:paraId="674E5A77" w14:textId="77777777" w:rsidR="005146DD" w:rsidRPr="00C43F33" w:rsidRDefault="005146DD" w:rsidP="005146DD">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Cơ cấu đầu tư:</w:t>
      </w:r>
    </w:p>
    <w:p w14:paraId="43F167D0" w14:textId="77777777" w:rsidR="005146DD" w:rsidRPr="00C43F33" w:rsidRDefault="005146DD" w:rsidP="005146DD">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Tỷ trọng phân bổ tài sản đầu tư của Quỹ như sau:</w:t>
      </w:r>
    </w:p>
    <w:tbl>
      <w:tblPr>
        <w:tblStyle w:val="TableGrid"/>
        <w:tblW w:w="8640" w:type="dxa"/>
        <w:tblInd w:w="715" w:type="dxa"/>
        <w:tblLook w:val="04A0" w:firstRow="1" w:lastRow="0" w:firstColumn="1" w:lastColumn="0" w:noHBand="0" w:noVBand="1"/>
      </w:tblPr>
      <w:tblGrid>
        <w:gridCol w:w="4140"/>
        <w:gridCol w:w="4500"/>
      </w:tblGrid>
      <w:tr w:rsidR="005146DD" w:rsidRPr="00C43F33" w14:paraId="40646333" w14:textId="77777777" w:rsidTr="003F3F70">
        <w:trPr>
          <w:trHeight w:val="507"/>
        </w:trPr>
        <w:tc>
          <w:tcPr>
            <w:tcW w:w="4140" w:type="dxa"/>
            <w:shd w:val="clear" w:color="auto" w:fill="D9D9D9" w:themeFill="background1" w:themeFillShade="D9"/>
          </w:tcPr>
          <w:p w14:paraId="1F287593" w14:textId="77777777" w:rsidR="005146DD" w:rsidRPr="00C43F33" w:rsidRDefault="005146DD" w:rsidP="003F3F70">
            <w:pPr>
              <w:spacing w:before="120" w:after="120"/>
              <w:ind w:left="720"/>
              <w:jc w:val="both"/>
              <w:rPr>
                <w:rFonts w:ascii="Times New Roman" w:hAnsi="Times New Roman"/>
                <w:b/>
                <w:sz w:val="24"/>
                <w:szCs w:val="24"/>
                <w:lang w:val="nl-NL"/>
              </w:rPr>
            </w:pPr>
            <w:r w:rsidRPr="00C43F33">
              <w:rPr>
                <w:rFonts w:ascii="Times New Roman" w:hAnsi="Times New Roman"/>
                <w:b/>
                <w:sz w:val="24"/>
                <w:szCs w:val="24"/>
                <w:lang w:val="nl-NL"/>
              </w:rPr>
              <w:t>Tài sản đầu tư</w:t>
            </w:r>
          </w:p>
        </w:tc>
        <w:tc>
          <w:tcPr>
            <w:tcW w:w="4500" w:type="dxa"/>
            <w:shd w:val="clear" w:color="auto" w:fill="D9D9D9" w:themeFill="background1" w:themeFillShade="D9"/>
          </w:tcPr>
          <w:p w14:paraId="6E33482A" w14:textId="77777777" w:rsidR="005146DD" w:rsidRPr="00C43F33" w:rsidRDefault="005146DD" w:rsidP="003F3F70">
            <w:pPr>
              <w:spacing w:before="120" w:after="120"/>
              <w:ind w:left="720"/>
              <w:jc w:val="both"/>
              <w:rPr>
                <w:rFonts w:ascii="Times New Roman" w:hAnsi="Times New Roman"/>
                <w:b/>
                <w:sz w:val="24"/>
                <w:szCs w:val="24"/>
                <w:lang w:val="nl-NL"/>
              </w:rPr>
            </w:pPr>
            <w:r w:rsidRPr="00C43F33">
              <w:rPr>
                <w:rFonts w:ascii="Times New Roman" w:hAnsi="Times New Roman"/>
                <w:b/>
                <w:sz w:val="24"/>
                <w:szCs w:val="24"/>
                <w:lang w:val="nl-NL"/>
              </w:rPr>
              <w:t>Tỷ trọng (% NAV của Quỹ)</w:t>
            </w:r>
          </w:p>
        </w:tc>
      </w:tr>
      <w:tr w:rsidR="005146DD" w:rsidRPr="00C43F33" w14:paraId="557684AF" w14:textId="77777777" w:rsidTr="003F3F70">
        <w:trPr>
          <w:trHeight w:val="260"/>
        </w:trPr>
        <w:tc>
          <w:tcPr>
            <w:tcW w:w="4140" w:type="dxa"/>
          </w:tcPr>
          <w:p w14:paraId="663E83C0"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Cổ phiếu</w:t>
            </w:r>
          </w:p>
        </w:tc>
        <w:tc>
          <w:tcPr>
            <w:tcW w:w="4500" w:type="dxa"/>
          </w:tcPr>
          <w:p w14:paraId="07514FFE"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50% – 100%</w:t>
            </w:r>
          </w:p>
        </w:tc>
      </w:tr>
      <w:tr w:rsidR="005146DD" w:rsidRPr="00C43F33" w14:paraId="53F5D310" w14:textId="77777777" w:rsidTr="003F3F70">
        <w:trPr>
          <w:trHeight w:val="507"/>
        </w:trPr>
        <w:tc>
          <w:tcPr>
            <w:tcW w:w="4140" w:type="dxa"/>
          </w:tcPr>
          <w:p w14:paraId="3ECD1D5E"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Tiền gửi ngắn hạn (*)</w:t>
            </w:r>
          </w:p>
        </w:tc>
        <w:tc>
          <w:tcPr>
            <w:tcW w:w="4500" w:type="dxa"/>
          </w:tcPr>
          <w:p w14:paraId="5DEC7949"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0 – 49%</w:t>
            </w:r>
          </w:p>
        </w:tc>
      </w:tr>
      <w:tr w:rsidR="005146DD" w:rsidRPr="00C43F33" w14:paraId="63B43DB9" w14:textId="77777777" w:rsidTr="003F3F70">
        <w:trPr>
          <w:trHeight w:val="760"/>
        </w:trPr>
        <w:tc>
          <w:tcPr>
            <w:tcW w:w="4140" w:type="dxa"/>
          </w:tcPr>
          <w:p w14:paraId="18AEFC15"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Tiền trên tài khoản thanh toán của Quỹ tại Ngân hàng giám sát</w:t>
            </w:r>
          </w:p>
        </w:tc>
        <w:tc>
          <w:tcPr>
            <w:tcW w:w="4500" w:type="dxa"/>
          </w:tcPr>
          <w:p w14:paraId="0C09815B"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Là phần còn lại sau khi đầu tư vào hai (02) loại tài sản nêu trên.</w:t>
            </w:r>
          </w:p>
        </w:tc>
      </w:tr>
    </w:tbl>
    <w:p w14:paraId="223FBEE4" w14:textId="1A40EABB" w:rsidR="005E77D1" w:rsidRPr="00C43F33" w:rsidRDefault="005146DD" w:rsidP="005146DD">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 Kỳ hạn tối đa là ba (03) tháng; Quỹ chỉ được đầu tư tiền gửi tại các Ngân hàng có định mức tín nhiệm thích hợp, trong danh sách đã được Ban Đại diện Quỹ phê duyệt bằng văn bản.</w:t>
      </w:r>
    </w:p>
    <w:p w14:paraId="09A444DE" w14:textId="1E57D37B" w:rsidR="007A2D4E" w:rsidRPr="00C43F33" w:rsidRDefault="00A44447" w:rsidP="007A2D4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7A2D4E" w:rsidRPr="00C43F33">
        <w:rPr>
          <w:rFonts w:ascii="Times New Roman" w:hAnsi="Times New Roman"/>
          <w:b/>
          <w:sz w:val="24"/>
          <w:szCs w:val="24"/>
          <w:lang w:val="nl-NL"/>
        </w:rPr>
        <w:t>4. Phân loại Quỹ:</w:t>
      </w:r>
    </w:p>
    <w:p w14:paraId="430902BC" w14:textId="77777777" w:rsidR="00A44447" w:rsidRDefault="00A44447" w:rsidP="007A2D4E">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Quỹ là quỹ đại chúng dạng mở.</w:t>
      </w:r>
    </w:p>
    <w:p w14:paraId="6001AD78" w14:textId="42E76B37" w:rsidR="007A2D4E" w:rsidRPr="00C43F33" w:rsidRDefault="00A44447" w:rsidP="007A2D4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7A2D4E" w:rsidRPr="00C43F33">
        <w:rPr>
          <w:rFonts w:ascii="Times New Roman" w:hAnsi="Times New Roman"/>
          <w:b/>
          <w:sz w:val="24"/>
          <w:szCs w:val="24"/>
          <w:lang w:val="nl-NL"/>
        </w:rPr>
        <w:t>5. Thời gian khuyến cáo đầu tư của Quỹ:</w:t>
      </w:r>
    </w:p>
    <w:p w14:paraId="3B68CB35"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Quỹ không bị giới hạn về thời gian hoạt động.</w:t>
      </w:r>
    </w:p>
    <w:p w14:paraId="47626640" w14:textId="18C035DD" w:rsidR="00BE6F63" w:rsidRPr="001330F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845924">
        <w:rPr>
          <w:rFonts w:ascii="Times New Roman" w:hAnsi="Times New Roman"/>
          <w:b/>
          <w:sz w:val="24"/>
          <w:szCs w:val="24"/>
          <w:lang w:val="nl-NL"/>
        </w:rPr>
        <w:t>1.</w:t>
      </w:r>
      <w:r w:rsidR="00BE6F63" w:rsidRPr="00845924">
        <w:rPr>
          <w:rFonts w:ascii="Times New Roman" w:hAnsi="Times New Roman"/>
          <w:b/>
          <w:sz w:val="24"/>
          <w:szCs w:val="24"/>
          <w:lang w:val="nl-NL"/>
        </w:rPr>
        <w:t>6. Mức độ rủi ro ngắn hạn</w:t>
      </w:r>
      <w:r w:rsidR="00EC15EC" w:rsidRPr="00845924">
        <w:rPr>
          <w:rFonts w:ascii="Times New Roman" w:hAnsi="Times New Roman"/>
          <w:b/>
          <w:sz w:val="24"/>
          <w:szCs w:val="24"/>
          <w:lang w:val="nl-NL"/>
        </w:rPr>
        <w:t>:</w:t>
      </w:r>
      <w:r w:rsidR="00BE6F63" w:rsidRPr="00EC15EC">
        <w:rPr>
          <w:rFonts w:ascii="Times New Roman" w:hAnsi="Times New Roman"/>
          <w:b/>
          <w:sz w:val="24"/>
          <w:szCs w:val="24"/>
          <w:lang w:val="nl-NL"/>
        </w:rPr>
        <w:t xml:space="preserve"> </w:t>
      </w:r>
    </w:p>
    <w:p w14:paraId="6CA491C5" w14:textId="77777777"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1330FC">
        <w:rPr>
          <w:rFonts w:ascii="Times New Roman" w:hAnsi="Times New Roman"/>
          <w:sz w:val="24"/>
          <w:szCs w:val="24"/>
          <w:lang w:val="nl-NL"/>
        </w:rPr>
        <w:t>Quỹ có mức độ rủi ro ngắn hạn trung bình.</w:t>
      </w:r>
    </w:p>
    <w:p w14:paraId="4070316C" w14:textId="5D1F2BAE"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Đồng thời, với phương pháp lựa chọn đầu tư năng động như trình bày sau đây, mức độ rủi ro ngắn hạn của Quỹ cũng tương ứng linh động theo từng thời điểm đầu tư.</w:t>
      </w:r>
    </w:p>
    <w:p w14:paraId="187A52C9" w14:textId="77777777" w:rsid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Quỹ sẽ áp dụng chiến lược đầu tư chủ động để tìm kiếm, xác định và lựa chọn các cơ hội đầu tư. Căn cứ vào các nghiên cứu, phân tích cơ bản nền kinh tế vĩ mô, phân tích công ty, các yếu tố thị trường, Quỹ sẽ xây dựng mô hình phân bổ tài sản phù hợp với mục tiêu đầu tư của Quỹ và phù hợp với điều kiện thị trường ở mỗi giai đoạn khác nhau. Đối với từng khoản đầu tư, Quỹ sẽ tập trung tìm kiếm và khai thác các khoản đầu tư có giá trị thị trường hấp dẫn so với giá trị cơ bản, các khoản đầu tư có xu hướng tăng trưởng dài hạn. Đồng thời Quỹ cũng xác định những rủi ro đối với danh mục đầu tư và có biện pháp kiểm soát đối với những rủi ro này. Nhờ đó, danh mục đầu tư của Quỹ bao gồm các tài sản đầu tư có chất lượng cao và có thể gia tăng được giá trị thông qua chiến lược quản lý đầu tư chủ động của Quỹ.</w:t>
      </w:r>
    </w:p>
    <w:p w14:paraId="12C124B4" w14:textId="741D05F4" w:rsidR="00BE6F63" w:rsidRPr="00A90AB7"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BE6F63" w:rsidRPr="00A90AB7">
        <w:rPr>
          <w:rFonts w:ascii="Times New Roman" w:hAnsi="Times New Roman"/>
          <w:b/>
          <w:sz w:val="24"/>
          <w:szCs w:val="24"/>
          <w:lang w:val="nl-NL"/>
        </w:rPr>
        <w:t>7. Thời điểm bắt đầu hoạt động của Quỹ:</w:t>
      </w:r>
    </w:p>
    <w:p w14:paraId="16A9C2F8" w14:textId="270FB28B"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Quỹ bắt đầu hoạt động từ ngày </w:t>
      </w:r>
      <w:r w:rsidR="000C4474" w:rsidRPr="00A90AB7">
        <w:rPr>
          <w:rFonts w:ascii="Times New Roman" w:hAnsi="Times New Roman"/>
          <w:sz w:val="24"/>
          <w:szCs w:val="24"/>
          <w:lang w:val="nl-NL"/>
        </w:rPr>
        <w:t>03</w:t>
      </w:r>
      <w:r w:rsidRPr="00A90AB7">
        <w:rPr>
          <w:rFonts w:ascii="Times New Roman" w:hAnsi="Times New Roman"/>
          <w:sz w:val="24"/>
          <w:szCs w:val="24"/>
          <w:lang w:val="nl-NL"/>
        </w:rPr>
        <w:t xml:space="preserve"> tháng </w:t>
      </w:r>
      <w:r w:rsidR="000C4474" w:rsidRPr="00A90AB7">
        <w:rPr>
          <w:rFonts w:ascii="Times New Roman" w:hAnsi="Times New Roman"/>
          <w:sz w:val="24"/>
          <w:szCs w:val="24"/>
          <w:lang w:val="nl-NL"/>
        </w:rPr>
        <w:t>01</w:t>
      </w:r>
      <w:r w:rsidRPr="00A90AB7">
        <w:rPr>
          <w:rFonts w:ascii="Times New Roman" w:hAnsi="Times New Roman"/>
          <w:sz w:val="24"/>
          <w:szCs w:val="24"/>
          <w:lang w:val="nl-NL"/>
        </w:rPr>
        <w:t xml:space="preserve"> năm 201</w:t>
      </w:r>
      <w:r w:rsidR="000C4474" w:rsidRPr="00A90AB7">
        <w:rPr>
          <w:rFonts w:ascii="Times New Roman" w:hAnsi="Times New Roman"/>
          <w:sz w:val="24"/>
          <w:szCs w:val="24"/>
          <w:lang w:val="nl-NL"/>
        </w:rPr>
        <w:t>9</w:t>
      </w:r>
      <w:r w:rsidR="000B431B">
        <w:rPr>
          <w:rFonts w:ascii="Times New Roman" w:hAnsi="Times New Roman"/>
          <w:sz w:val="24"/>
          <w:szCs w:val="24"/>
          <w:lang w:val="nl-NL"/>
        </w:rPr>
        <w:t>.</w:t>
      </w:r>
    </w:p>
    <w:p w14:paraId="09A952B4" w14:textId="2F4A2115" w:rsidR="00BE6F63" w:rsidRPr="00845924"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845924">
        <w:rPr>
          <w:rFonts w:ascii="Times New Roman" w:hAnsi="Times New Roman"/>
          <w:b/>
          <w:sz w:val="24"/>
          <w:szCs w:val="24"/>
          <w:lang w:val="nl-NL"/>
        </w:rPr>
        <w:lastRenderedPageBreak/>
        <w:t>1.</w:t>
      </w:r>
      <w:r w:rsidR="00BE6F63" w:rsidRPr="00845924">
        <w:rPr>
          <w:rFonts w:ascii="Times New Roman" w:hAnsi="Times New Roman"/>
          <w:b/>
          <w:sz w:val="24"/>
          <w:szCs w:val="24"/>
          <w:lang w:val="nl-NL"/>
        </w:rPr>
        <w:t>8. Quy mô Quỹ tại thời điểm báo cáo</w:t>
      </w:r>
    </w:p>
    <w:p w14:paraId="0231C78E" w14:textId="7166E8B5" w:rsidR="00A44447" w:rsidRPr="00EC15EC"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845924">
        <w:rPr>
          <w:rFonts w:ascii="Times New Roman" w:hAnsi="Times New Roman"/>
          <w:sz w:val="24"/>
          <w:szCs w:val="24"/>
          <w:lang w:val="nl-NL"/>
        </w:rPr>
        <w:t>Tại ngày 3</w:t>
      </w:r>
      <w:r w:rsidR="00C31909" w:rsidRPr="00845924">
        <w:rPr>
          <w:rFonts w:ascii="Times New Roman" w:hAnsi="Times New Roman"/>
          <w:sz w:val="24"/>
          <w:szCs w:val="24"/>
          <w:lang w:val="nl-NL"/>
        </w:rPr>
        <w:t>1</w:t>
      </w:r>
      <w:r w:rsidRPr="00845924">
        <w:rPr>
          <w:rFonts w:ascii="Times New Roman" w:hAnsi="Times New Roman"/>
          <w:sz w:val="24"/>
          <w:szCs w:val="24"/>
          <w:lang w:val="nl-NL"/>
        </w:rPr>
        <w:t xml:space="preserve"> tháng </w:t>
      </w:r>
      <w:r w:rsidR="00C31909" w:rsidRPr="00845924">
        <w:rPr>
          <w:rFonts w:ascii="Times New Roman" w:hAnsi="Times New Roman"/>
          <w:sz w:val="24"/>
          <w:szCs w:val="24"/>
          <w:lang w:val="nl-NL"/>
        </w:rPr>
        <w:t>12</w:t>
      </w:r>
      <w:r w:rsidRPr="00845924">
        <w:rPr>
          <w:rFonts w:ascii="Times New Roman" w:hAnsi="Times New Roman"/>
          <w:sz w:val="24"/>
          <w:szCs w:val="24"/>
          <w:lang w:val="nl-NL"/>
        </w:rPr>
        <w:t xml:space="preserve"> năm 202</w:t>
      </w:r>
      <w:r w:rsidR="00E67E98" w:rsidRPr="00845924">
        <w:rPr>
          <w:rFonts w:ascii="Times New Roman" w:hAnsi="Times New Roman"/>
          <w:sz w:val="24"/>
          <w:szCs w:val="24"/>
          <w:lang w:val="nl-NL"/>
        </w:rPr>
        <w:t>3</w:t>
      </w:r>
      <w:r w:rsidRPr="00845924">
        <w:rPr>
          <w:rFonts w:ascii="Times New Roman" w:hAnsi="Times New Roman"/>
          <w:sz w:val="24"/>
          <w:szCs w:val="24"/>
          <w:lang w:val="nl-NL"/>
        </w:rPr>
        <w:t>, số lượng Chứng chỉ quỹ (“CCQ”) đang lưu hành của Quỹ là</w:t>
      </w:r>
      <w:r w:rsidRPr="00EC15EC">
        <w:rPr>
          <w:rFonts w:ascii="Times New Roman" w:hAnsi="Times New Roman"/>
          <w:sz w:val="24"/>
          <w:szCs w:val="24"/>
          <w:lang w:val="nl-NL"/>
        </w:rPr>
        <w:t xml:space="preserve"> </w:t>
      </w:r>
      <w:r w:rsidR="0095587A" w:rsidRPr="00EC15EC">
        <w:rPr>
          <w:rFonts w:ascii="Times New Roman" w:hAnsi="Times New Roman"/>
          <w:sz w:val="24"/>
          <w:szCs w:val="24"/>
          <w:lang w:val="nl-NL"/>
        </w:rPr>
        <w:t xml:space="preserve"> </w:t>
      </w:r>
      <w:r w:rsidR="00010F11" w:rsidRPr="00845924">
        <w:rPr>
          <w:rFonts w:ascii="Times New Roman" w:hAnsi="Times New Roman"/>
          <w:sz w:val="24"/>
          <w:szCs w:val="24"/>
          <w:lang w:val="nl-NL"/>
        </w:rPr>
        <w:t xml:space="preserve">11.615.286,07 </w:t>
      </w:r>
      <w:r w:rsidRPr="00845924">
        <w:rPr>
          <w:rFonts w:ascii="Times New Roman" w:hAnsi="Times New Roman"/>
          <w:sz w:val="24"/>
          <w:szCs w:val="24"/>
          <w:lang w:val="nl-NL"/>
        </w:rPr>
        <w:t>CCQ, tương đương với quy mô vốn của Quỹ theo mệnh giá là</w:t>
      </w:r>
      <w:r w:rsidR="001048A2" w:rsidRPr="00845924">
        <w:rPr>
          <w:rFonts w:ascii="Times New Roman" w:hAnsi="Times New Roman"/>
          <w:sz w:val="24"/>
          <w:szCs w:val="24"/>
          <w:lang w:val="nl-NL"/>
        </w:rPr>
        <w:t xml:space="preserve"> </w:t>
      </w:r>
      <w:r w:rsidR="00010F11" w:rsidRPr="00845924">
        <w:rPr>
          <w:rFonts w:ascii="Times New Roman" w:hAnsi="Times New Roman"/>
          <w:sz w:val="24"/>
          <w:szCs w:val="24"/>
          <w:lang w:val="nl-NL"/>
        </w:rPr>
        <w:t xml:space="preserve">116.152.860.700 </w:t>
      </w:r>
      <w:r w:rsidRPr="00845924">
        <w:rPr>
          <w:rFonts w:ascii="Times New Roman" w:hAnsi="Times New Roman"/>
          <w:sz w:val="24"/>
          <w:szCs w:val="24"/>
          <w:lang w:val="nl-NL"/>
        </w:rPr>
        <w:t>VND.</w:t>
      </w:r>
    </w:p>
    <w:p w14:paraId="217E359E" w14:textId="18F4CB8E" w:rsidR="00BE6F63" w:rsidRPr="001330F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330FC">
        <w:rPr>
          <w:rFonts w:ascii="Times New Roman" w:hAnsi="Times New Roman"/>
          <w:b/>
          <w:sz w:val="24"/>
          <w:szCs w:val="24"/>
          <w:lang w:val="nl-NL"/>
        </w:rPr>
        <w:t>1.</w:t>
      </w:r>
      <w:r w:rsidR="00BE6F63" w:rsidRPr="001330FC">
        <w:rPr>
          <w:rFonts w:ascii="Times New Roman" w:hAnsi="Times New Roman"/>
          <w:b/>
          <w:sz w:val="24"/>
          <w:szCs w:val="24"/>
          <w:lang w:val="nl-NL"/>
        </w:rPr>
        <w:t>9. Chỉ số tham chiếu của Quỹ:</w:t>
      </w:r>
    </w:p>
    <w:p w14:paraId="01DBA447" w14:textId="77777777" w:rsidR="00494F7E" w:rsidRPr="001330FC"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1330FC">
        <w:rPr>
          <w:rFonts w:ascii="Times New Roman" w:hAnsi="Times New Roman"/>
          <w:sz w:val="24"/>
          <w:szCs w:val="24"/>
          <w:lang w:val="nl-NL"/>
        </w:rPr>
        <w:t>Quỹ không áp dụng chỉ số tham chiếu</w:t>
      </w:r>
    </w:p>
    <w:p w14:paraId="6239DBE8" w14:textId="5DBD2DFF" w:rsidR="00BE6F63" w:rsidRPr="00147E0F" w:rsidRDefault="00A44447"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424BCD">
        <w:rPr>
          <w:rFonts w:ascii="Times New Roman" w:hAnsi="Times New Roman"/>
          <w:b/>
          <w:sz w:val="24"/>
          <w:szCs w:val="24"/>
          <w:lang w:val="nl-NL"/>
        </w:rPr>
        <w:t>1.</w:t>
      </w:r>
      <w:r w:rsidR="00BE6F63" w:rsidRPr="00424BCD">
        <w:rPr>
          <w:rFonts w:ascii="Times New Roman" w:hAnsi="Times New Roman"/>
          <w:b/>
          <w:sz w:val="24"/>
          <w:szCs w:val="24"/>
          <w:lang w:val="nl-NL"/>
        </w:rPr>
        <w:t>10. Chính sách phân phối lợi nhuận của Quỹ:</w:t>
      </w:r>
    </w:p>
    <w:p w14:paraId="72D983E9" w14:textId="5DCC8B9E"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Như đã được đề cập trong Bản cáo bạch, Quỹ đầu tư chủ yếu vào cổ phiếu với mục tiêu chính là tăng trưởng giá trị vốn trong giai đoạn trung và dài hạn; do đó Quỹ có hạn chế trong việc chia cổ tức</w:t>
      </w:r>
      <w:r w:rsidR="00B77864">
        <w:rPr>
          <w:rFonts w:ascii="Times New Roman" w:hAnsi="Times New Roman"/>
          <w:sz w:val="24"/>
          <w:szCs w:val="24"/>
          <w:lang w:val="nl-NL"/>
        </w:rPr>
        <w:t xml:space="preserve"> hằng năm</w:t>
      </w:r>
      <w:r w:rsidRPr="00A44447">
        <w:rPr>
          <w:rFonts w:ascii="Times New Roman" w:hAnsi="Times New Roman"/>
          <w:sz w:val="24"/>
          <w:szCs w:val="24"/>
          <w:lang w:val="nl-NL"/>
        </w:rPr>
        <w:t xml:space="preserve">. Việc phân phối lợi nhuận (nếu có) sẽ dựa trên cơ sở báo cáo tài chính kiểm toán của Quỹ trong khuôn khổ quy định của pháp luật, theo đề xuất của Công ty Quản lý Quỹ, được chấp thuận bởi Ban Đại diện Quỹ và được Đại hội nhà đầu tư thông qua.  </w:t>
      </w:r>
    </w:p>
    <w:p w14:paraId="13F91FD0" w14:textId="77777777"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Việc chi trả lợi nhuận bảo đảm nguyên tắc:</w:t>
      </w:r>
    </w:p>
    <w:p w14:paraId="57461E84" w14:textId="358C5140"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Lợi nhuận phân phối cho nhà đầu tư được lấy từ nguồn lợi nhuận trong năm hoặc lợi nhuận lũy kế sau khi Quỹ đã hoàn tất mọi nghĩa vụ thuế, tài chính theo quy định pháp luật;</w:t>
      </w:r>
    </w:p>
    <w:p w14:paraId="380D9162" w14:textId="6A711EE9"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Mức chi trả lợi nhuận phải phù hợp với chính sách phân phối lợi nhuận của Quỹ quy định tại điều lệ quỹ và được Đại hội nhà đầu tư thông qua;</w:t>
      </w:r>
    </w:p>
    <w:p w14:paraId="7B8F37DC" w14:textId="2925D80B"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Sau khi chi trả, Quỹ vẫn phải đảm bảo có nguồn vốn để thanh toán đủ các khoản nợ, nghĩa vụ tài sản khác đến hạn và giá trị tài sản ròng của Quỹ sau khi chi trả lợi nhuận phải không thấp hơn năm mươi (50) tỷ đồng; và</w:t>
      </w:r>
    </w:p>
    <w:p w14:paraId="17009499" w14:textId="18CBDDFC"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Trường hợp phân phối lợi nhuận bằng chứng chỉ quỹ, Quỹ phải có đủ nguồn vốn đối ứng từ lợi nhuận sau thuế chưa phân phối căn cứ trên báo cáo tài chính kỳ gần nhất đã được kiểm toán hoặc soát xét.</w:t>
      </w:r>
    </w:p>
    <w:p w14:paraId="29FD9DDB" w14:textId="600FC6C4"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Hình thức phân phối lợi nhuận bằng tiền hoặc bằng đơn vị chứng chỉ quỹ. Việc phân chia lợi nhuận bằng đơn vị chứng chỉ quỹ phải được sự chấp thuận trước của Đại hội nhà đầu tư hoặc được sự chấp thuận của Ban Đại diện Quỹ (nếu Đại hội nhà đầu tư gần nhất đã ủy quyền cho Ban Đại diện quỹ). Chỉ những nhà đầu tư có tên trên danh sách nhà đầu tư sở hữu đơn vị chứng chỉ quỹ tại ngày chốt quyền mới được nhận cổ tức từ Quỹ.</w:t>
      </w:r>
    </w:p>
    <w:p w14:paraId="16EB4396" w14:textId="58492C36"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Công ty Quản lý Quỹ phải khấu trừ mọi khoản thuế, phí, lệ phí theo quy định của Pháp luật trước khi phân chia lợi nhuận cho nhà đầu tư.</w:t>
      </w:r>
    </w:p>
    <w:p w14:paraId="5A8C9C1F" w14:textId="3BA0642D" w:rsid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Công ty Quản lý Quỹ được phân chia tài sản của Quỹ cho nhà đầu tư nhiều hơn lợi nhuận đã thực hiện, nhưng phải bảo đảm giá trị tài sản ròng của Quỹ sau khi thực hiện không được thấp hơn năm mươi (50) tỷ đồng. Kế hoạch, lộ trình thực hiện, quy mô tài sản phân chia, nguồn vốn thực hiện phải được Đại hội nhà đầu tư chấp thuận.</w:t>
      </w:r>
    </w:p>
    <w:p w14:paraId="64BFAD6A" w14:textId="6C620A3A" w:rsidR="00BE6F63" w:rsidRPr="00147E0F"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BE6F63" w:rsidRPr="00147E0F">
        <w:rPr>
          <w:rFonts w:ascii="Times New Roman" w:hAnsi="Times New Roman"/>
          <w:b/>
          <w:sz w:val="24"/>
          <w:szCs w:val="24"/>
          <w:lang w:val="nl-NL"/>
        </w:rPr>
        <w:t xml:space="preserve">11. Lợi nhuận thuần thực tế phân phối trên một đơn vị Chứng chỉ </w:t>
      </w:r>
      <w:r w:rsidR="008F2B2D" w:rsidRPr="00147E0F">
        <w:rPr>
          <w:rFonts w:ascii="Times New Roman" w:hAnsi="Times New Roman"/>
          <w:b/>
          <w:sz w:val="24"/>
          <w:szCs w:val="24"/>
          <w:lang w:val="nl-NL"/>
        </w:rPr>
        <w:t>Q</w:t>
      </w:r>
      <w:r w:rsidR="00BE6F63" w:rsidRPr="00147E0F">
        <w:rPr>
          <w:rFonts w:ascii="Times New Roman" w:hAnsi="Times New Roman"/>
          <w:b/>
          <w:sz w:val="24"/>
          <w:szCs w:val="24"/>
          <w:lang w:val="nl-NL"/>
        </w:rPr>
        <w:t>uỹ:</w:t>
      </w:r>
    </w:p>
    <w:p w14:paraId="5ABA993A" w14:textId="0A31F9C0" w:rsidR="00505ACF" w:rsidRDefault="00494F7E" w:rsidP="00315A8E">
      <w:pPr>
        <w:shd w:val="clear" w:color="auto" w:fill="FFFFFF"/>
        <w:tabs>
          <w:tab w:val="left" w:pos="540"/>
        </w:tabs>
        <w:spacing w:before="120" w:line="240" w:lineRule="auto"/>
        <w:jc w:val="both"/>
        <w:rPr>
          <w:rFonts w:ascii="Times New Roman" w:hAnsi="Times New Roman"/>
          <w:sz w:val="24"/>
          <w:szCs w:val="24"/>
          <w:lang w:val="nl-NL"/>
        </w:rPr>
      </w:pPr>
      <w:r w:rsidRPr="00147E0F">
        <w:rPr>
          <w:rFonts w:ascii="Times New Roman" w:hAnsi="Times New Roman"/>
          <w:sz w:val="24"/>
          <w:szCs w:val="24"/>
          <w:lang w:val="nl-NL"/>
        </w:rPr>
        <w:t>T</w:t>
      </w:r>
      <w:r w:rsidR="00C3684A" w:rsidRPr="00147E0F">
        <w:rPr>
          <w:rFonts w:ascii="Times New Roman" w:hAnsi="Times New Roman"/>
          <w:sz w:val="24"/>
          <w:szCs w:val="24"/>
          <w:lang w:val="nl-NL"/>
        </w:rPr>
        <w:t>rong kỳ, Quỹ không thực hiện phân phối lợi nhuận.</w:t>
      </w:r>
      <w:r w:rsidR="00091CAB" w:rsidRPr="00A90AB7">
        <w:rPr>
          <w:rFonts w:ascii="Times New Roman" w:hAnsi="Times New Roman"/>
          <w:sz w:val="24"/>
          <w:szCs w:val="24"/>
          <w:lang w:val="nl-NL"/>
        </w:rPr>
        <w:t xml:space="preserve"> </w:t>
      </w:r>
    </w:p>
    <w:p w14:paraId="6B08CDB7" w14:textId="786E9FB8" w:rsidR="00BE6F63" w:rsidRPr="00A90AB7"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2</w:t>
      </w:r>
      <w:r w:rsidR="00BE6F63" w:rsidRPr="00A90AB7">
        <w:rPr>
          <w:rFonts w:ascii="Times New Roman" w:hAnsi="Times New Roman"/>
          <w:b/>
          <w:sz w:val="24"/>
          <w:szCs w:val="24"/>
          <w:lang w:val="nl-NL"/>
        </w:rPr>
        <w:t>. Số liệu hoạt động</w:t>
      </w:r>
    </w:p>
    <w:p w14:paraId="4BC8CBAF" w14:textId="20DF1FA7" w:rsidR="00BE6F63" w:rsidRDefault="00A44447" w:rsidP="00315A8E">
      <w:pPr>
        <w:shd w:val="clear" w:color="auto" w:fill="FFFFFF"/>
        <w:tabs>
          <w:tab w:val="left" w:pos="540"/>
        </w:tabs>
        <w:spacing w:before="120" w:line="240" w:lineRule="auto"/>
        <w:jc w:val="both"/>
        <w:rPr>
          <w:rFonts w:ascii="Times New Roman" w:hAnsi="Times New Roman"/>
          <w:b/>
          <w:sz w:val="24"/>
          <w:szCs w:val="24"/>
          <w:lang w:val="nl-NL"/>
        </w:rPr>
      </w:pPr>
      <w:r w:rsidRPr="00845924">
        <w:rPr>
          <w:rFonts w:ascii="Times New Roman" w:hAnsi="Times New Roman"/>
          <w:b/>
          <w:sz w:val="24"/>
          <w:szCs w:val="24"/>
          <w:lang w:val="nl-NL"/>
        </w:rPr>
        <w:t>2.</w:t>
      </w:r>
      <w:r w:rsidR="00315A8E" w:rsidRPr="00845924">
        <w:rPr>
          <w:rFonts w:ascii="Times New Roman" w:hAnsi="Times New Roman"/>
          <w:b/>
          <w:sz w:val="24"/>
          <w:szCs w:val="24"/>
          <w:lang w:val="nl-NL"/>
        </w:rPr>
        <w:t xml:space="preserve">1. </w:t>
      </w:r>
      <w:r w:rsidR="00BE6F63" w:rsidRPr="00845924">
        <w:rPr>
          <w:rFonts w:ascii="Times New Roman" w:hAnsi="Times New Roman"/>
          <w:b/>
          <w:sz w:val="24"/>
          <w:szCs w:val="24"/>
          <w:lang w:val="nl-NL"/>
        </w:rPr>
        <w:t>Cơ cấu tài sản quỹ</w:t>
      </w:r>
      <w:r w:rsidR="00147E0F" w:rsidRPr="00845924">
        <w:rPr>
          <w:rFonts w:ascii="Times New Roman" w:hAnsi="Times New Roman"/>
          <w:b/>
          <w:sz w:val="24"/>
          <w:szCs w:val="24"/>
          <w:lang w:val="nl-NL"/>
        </w:rPr>
        <w:t>:</w:t>
      </w:r>
      <w:r w:rsidR="00BE6F63" w:rsidRPr="00147E0F">
        <w:rPr>
          <w:rFonts w:ascii="Times New Roman" w:hAnsi="Times New Roman"/>
          <w:b/>
          <w:sz w:val="24"/>
          <w:szCs w:val="24"/>
          <w:lang w:val="nl-NL"/>
        </w:rPr>
        <w:t xml:space="preserve"> </w:t>
      </w:r>
    </w:p>
    <w:p w14:paraId="2ACDFE45" w14:textId="77777777" w:rsidR="00EC15EC" w:rsidRPr="00A90AB7" w:rsidRDefault="00EC15EC" w:rsidP="00315A8E">
      <w:pPr>
        <w:shd w:val="clear" w:color="auto" w:fill="FFFFFF"/>
        <w:tabs>
          <w:tab w:val="left" w:pos="540"/>
        </w:tabs>
        <w:spacing w:before="120" w:line="240" w:lineRule="auto"/>
        <w:jc w:val="both"/>
        <w:rPr>
          <w:rFonts w:ascii="Times New Roman" w:hAnsi="Times New Roman"/>
          <w:b/>
          <w:sz w:val="24"/>
          <w:szCs w:val="24"/>
          <w:lang w:val="nl-NL"/>
        </w:rPr>
      </w:pPr>
    </w:p>
    <w:tbl>
      <w:tblPr>
        <w:tblW w:w="9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867"/>
        <w:gridCol w:w="1800"/>
        <w:gridCol w:w="1800"/>
        <w:gridCol w:w="1800"/>
      </w:tblGrid>
      <w:tr w:rsidR="00756A76" w:rsidRPr="004647B9" w14:paraId="3587C0D2" w14:textId="77777777" w:rsidTr="00FE2BC9">
        <w:tc>
          <w:tcPr>
            <w:tcW w:w="2086" w:type="pct"/>
            <w:shd w:val="clear" w:color="auto" w:fill="auto"/>
            <w:vAlign w:val="center"/>
          </w:tcPr>
          <w:p w14:paraId="713AC91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lastRenderedPageBreak/>
              <w:t>Cơ cấu tài sản quỹ</w:t>
            </w:r>
          </w:p>
        </w:tc>
        <w:tc>
          <w:tcPr>
            <w:tcW w:w="971" w:type="pct"/>
            <w:shd w:val="clear" w:color="auto" w:fill="auto"/>
            <w:vAlign w:val="center"/>
          </w:tcPr>
          <w:p w14:paraId="77428E37" w14:textId="1573F8CF" w:rsidR="00BE6F63" w:rsidRPr="004647B9" w:rsidRDefault="00E32BB9"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C31909">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C31909">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w:t>
            </w:r>
            <w:r w:rsidR="0052502D" w:rsidRPr="004647B9">
              <w:rPr>
                <w:rFonts w:ascii="Times New Roman" w:eastAsia="Times New Roman" w:hAnsi="Times New Roman"/>
                <w:b/>
                <w:sz w:val="24"/>
                <w:szCs w:val="24"/>
                <w:lang w:val="nl-NL"/>
              </w:rPr>
              <w:t>2</w:t>
            </w:r>
            <w:r w:rsidR="00E67E98">
              <w:rPr>
                <w:rFonts w:ascii="Times New Roman" w:eastAsia="Times New Roman" w:hAnsi="Times New Roman"/>
                <w:b/>
                <w:sz w:val="24"/>
                <w:szCs w:val="24"/>
                <w:lang w:val="nl-NL"/>
              </w:rPr>
              <w:t>3</w:t>
            </w:r>
          </w:p>
          <w:p w14:paraId="4F56B9C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71" w:type="pct"/>
            <w:shd w:val="clear" w:color="auto" w:fill="auto"/>
            <w:vAlign w:val="center"/>
          </w:tcPr>
          <w:p w14:paraId="4D230E58" w14:textId="4B5CF76E" w:rsidR="00BE6F63" w:rsidRPr="004647B9" w:rsidRDefault="00D20DF1"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C31909">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C31909">
              <w:rPr>
                <w:rFonts w:ascii="Times New Roman" w:eastAsia="Times New Roman" w:hAnsi="Times New Roman"/>
                <w:b/>
                <w:sz w:val="24"/>
                <w:szCs w:val="24"/>
                <w:lang w:val="nl-NL"/>
              </w:rPr>
              <w:t>12</w:t>
            </w:r>
            <w:r w:rsidR="000600E0" w:rsidRPr="004647B9">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2</w:t>
            </w:r>
            <w:r w:rsidR="00E67E98">
              <w:rPr>
                <w:rFonts w:ascii="Times New Roman" w:eastAsia="Times New Roman" w:hAnsi="Times New Roman"/>
                <w:b/>
                <w:sz w:val="24"/>
                <w:szCs w:val="24"/>
                <w:lang w:val="nl-NL"/>
              </w:rPr>
              <w:t>2</w:t>
            </w:r>
          </w:p>
          <w:p w14:paraId="54EA1F22"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71" w:type="pct"/>
            <w:shd w:val="clear" w:color="auto" w:fill="auto"/>
            <w:vAlign w:val="center"/>
          </w:tcPr>
          <w:p w14:paraId="34B93B09" w14:textId="104B71C0" w:rsidR="00BE6F63" w:rsidRPr="004647B9" w:rsidRDefault="00D20DF1"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C31909">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C31909">
              <w:rPr>
                <w:rFonts w:ascii="Times New Roman" w:eastAsia="Times New Roman" w:hAnsi="Times New Roman"/>
                <w:b/>
                <w:sz w:val="24"/>
                <w:szCs w:val="24"/>
                <w:lang w:val="nl-NL"/>
              </w:rPr>
              <w:t>12</w:t>
            </w:r>
            <w:r w:rsidR="000600E0" w:rsidRPr="004647B9">
              <w:rPr>
                <w:rFonts w:ascii="Times New Roman" w:eastAsia="Times New Roman" w:hAnsi="Times New Roman"/>
                <w:b/>
                <w:sz w:val="24"/>
                <w:szCs w:val="24"/>
                <w:lang w:val="nl-NL"/>
              </w:rPr>
              <w:t>/20</w:t>
            </w:r>
            <w:r w:rsidR="00171D24">
              <w:rPr>
                <w:rFonts w:ascii="Times New Roman" w:eastAsia="Times New Roman" w:hAnsi="Times New Roman"/>
                <w:b/>
                <w:sz w:val="24"/>
                <w:szCs w:val="24"/>
                <w:lang w:val="nl-NL"/>
              </w:rPr>
              <w:t>2</w:t>
            </w:r>
            <w:r w:rsidR="00E67E98">
              <w:rPr>
                <w:rFonts w:ascii="Times New Roman" w:eastAsia="Times New Roman" w:hAnsi="Times New Roman"/>
                <w:b/>
                <w:sz w:val="24"/>
                <w:szCs w:val="24"/>
                <w:lang w:val="nl-NL"/>
              </w:rPr>
              <w:t>1</w:t>
            </w:r>
          </w:p>
          <w:p w14:paraId="411AA063"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010F11" w:rsidRPr="004647B9" w14:paraId="24D2596E" w14:textId="77777777" w:rsidTr="00FE2BC9">
        <w:tc>
          <w:tcPr>
            <w:tcW w:w="2086" w:type="pct"/>
            <w:shd w:val="clear" w:color="auto" w:fill="auto"/>
            <w:vAlign w:val="center"/>
          </w:tcPr>
          <w:p w14:paraId="33FCFD60" w14:textId="6918A882" w:rsidR="00010F11" w:rsidRPr="004647B9" w:rsidRDefault="00010F11" w:rsidP="00010F11">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1.Danh mục chứng khoán cơ cấu</w:t>
            </w:r>
          </w:p>
        </w:tc>
        <w:tc>
          <w:tcPr>
            <w:tcW w:w="971" w:type="pct"/>
            <w:shd w:val="clear" w:color="auto" w:fill="auto"/>
          </w:tcPr>
          <w:p w14:paraId="0B91117D" w14:textId="698C5131" w:rsidR="00010F11" w:rsidRPr="00C32781" w:rsidRDefault="00010F11" w:rsidP="00010F11">
            <w:pPr>
              <w:tabs>
                <w:tab w:val="left" w:pos="540"/>
              </w:tabs>
              <w:spacing w:before="120" w:after="0" w:line="240" w:lineRule="auto"/>
              <w:jc w:val="center"/>
              <w:rPr>
                <w:rFonts w:ascii="Times New Roman" w:eastAsia="Times New Roman" w:hAnsi="Times New Roman"/>
                <w:sz w:val="24"/>
                <w:szCs w:val="24"/>
                <w:lang w:val="nl-NL"/>
              </w:rPr>
            </w:pPr>
            <w:r w:rsidRPr="00010F11">
              <w:rPr>
                <w:rFonts w:ascii="Times New Roman" w:eastAsia="Times New Roman" w:hAnsi="Times New Roman"/>
                <w:sz w:val="24"/>
                <w:szCs w:val="24"/>
                <w:lang w:val="nl-NL"/>
              </w:rPr>
              <w:t>94</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13</w:t>
            </w:r>
          </w:p>
        </w:tc>
        <w:tc>
          <w:tcPr>
            <w:tcW w:w="971" w:type="pct"/>
            <w:shd w:val="clear" w:color="auto" w:fill="auto"/>
          </w:tcPr>
          <w:p w14:paraId="57589212" w14:textId="5954AD3F" w:rsidR="00010F11" w:rsidRPr="00C32781" w:rsidRDefault="00010F11" w:rsidP="00010F11">
            <w:pPr>
              <w:tabs>
                <w:tab w:val="left" w:pos="540"/>
              </w:tabs>
              <w:spacing w:before="120" w:after="0" w:line="240" w:lineRule="auto"/>
              <w:jc w:val="center"/>
              <w:rPr>
                <w:rFonts w:ascii="Times New Roman" w:eastAsia="Times New Roman" w:hAnsi="Times New Roman"/>
                <w:sz w:val="24"/>
                <w:szCs w:val="24"/>
                <w:lang w:val="nl-NL"/>
              </w:rPr>
            </w:pPr>
            <w:r w:rsidRPr="00010F11">
              <w:rPr>
                <w:rFonts w:ascii="Times New Roman" w:eastAsia="Times New Roman" w:hAnsi="Times New Roman"/>
                <w:sz w:val="24"/>
                <w:szCs w:val="24"/>
                <w:lang w:val="nl-NL"/>
              </w:rPr>
              <w:t>93</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00</w:t>
            </w:r>
          </w:p>
        </w:tc>
        <w:tc>
          <w:tcPr>
            <w:tcW w:w="971" w:type="pct"/>
            <w:shd w:val="clear" w:color="auto" w:fill="auto"/>
          </w:tcPr>
          <w:p w14:paraId="7BE89613" w14:textId="7BD423D7" w:rsidR="00010F11" w:rsidRPr="00C32781" w:rsidRDefault="00010F11" w:rsidP="00010F11">
            <w:pPr>
              <w:tabs>
                <w:tab w:val="left" w:pos="540"/>
              </w:tabs>
              <w:spacing w:before="120" w:after="0" w:line="240" w:lineRule="auto"/>
              <w:jc w:val="center"/>
              <w:rPr>
                <w:rFonts w:ascii="Times New Roman" w:eastAsia="Times New Roman" w:hAnsi="Times New Roman"/>
                <w:sz w:val="24"/>
                <w:szCs w:val="24"/>
                <w:lang w:val="nl-NL"/>
              </w:rPr>
            </w:pPr>
            <w:r w:rsidRPr="00010F11">
              <w:rPr>
                <w:rFonts w:ascii="Times New Roman" w:eastAsia="Times New Roman" w:hAnsi="Times New Roman"/>
                <w:sz w:val="24"/>
                <w:szCs w:val="24"/>
                <w:lang w:val="nl-NL"/>
              </w:rPr>
              <w:t>91</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92</w:t>
            </w:r>
          </w:p>
        </w:tc>
      </w:tr>
      <w:tr w:rsidR="00010F11" w:rsidRPr="004647B9" w14:paraId="4D0C35D7" w14:textId="77777777" w:rsidTr="00FE2BC9">
        <w:tc>
          <w:tcPr>
            <w:tcW w:w="2086" w:type="pct"/>
            <w:shd w:val="clear" w:color="auto" w:fill="auto"/>
            <w:vAlign w:val="center"/>
          </w:tcPr>
          <w:p w14:paraId="34BD949F" w14:textId="459905D2" w:rsidR="00010F11" w:rsidRPr="004647B9" w:rsidRDefault="00010F11" w:rsidP="00010F11">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2.Tiền và tương đương tiền</w:t>
            </w:r>
          </w:p>
        </w:tc>
        <w:tc>
          <w:tcPr>
            <w:tcW w:w="971" w:type="pct"/>
            <w:shd w:val="clear" w:color="auto" w:fill="auto"/>
          </w:tcPr>
          <w:p w14:paraId="67FB726C" w14:textId="272AE534" w:rsidR="00010F11" w:rsidRPr="00C32781" w:rsidRDefault="00010F11" w:rsidP="00010F11">
            <w:pPr>
              <w:tabs>
                <w:tab w:val="left" w:pos="540"/>
              </w:tabs>
              <w:spacing w:before="120" w:after="0" w:line="240" w:lineRule="auto"/>
              <w:jc w:val="center"/>
              <w:rPr>
                <w:rFonts w:ascii="Times New Roman" w:eastAsia="Times New Roman" w:hAnsi="Times New Roman"/>
                <w:sz w:val="24"/>
                <w:szCs w:val="24"/>
                <w:lang w:val="nl-NL"/>
              </w:rPr>
            </w:pPr>
            <w:r w:rsidRPr="00010F11">
              <w:rPr>
                <w:rFonts w:ascii="Times New Roman" w:eastAsia="Times New Roman" w:hAnsi="Times New Roman"/>
                <w:sz w:val="24"/>
                <w:szCs w:val="24"/>
                <w:lang w:val="nl-NL"/>
              </w:rPr>
              <w:t>5</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32</w:t>
            </w:r>
          </w:p>
        </w:tc>
        <w:tc>
          <w:tcPr>
            <w:tcW w:w="971" w:type="pct"/>
            <w:shd w:val="clear" w:color="auto" w:fill="auto"/>
          </w:tcPr>
          <w:p w14:paraId="34619132" w14:textId="46FBECE9" w:rsidR="00010F11" w:rsidRPr="00C32781" w:rsidRDefault="00010F11" w:rsidP="00010F11">
            <w:pPr>
              <w:tabs>
                <w:tab w:val="left" w:pos="540"/>
              </w:tabs>
              <w:spacing w:before="120" w:after="0" w:line="240" w:lineRule="auto"/>
              <w:jc w:val="center"/>
              <w:rPr>
                <w:rFonts w:ascii="Times New Roman" w:eastAsia="Times New Roman" w:hAnsi="Times New Roman"/>
                <w:sz w:val="24"/>
                <w:szCs w:val="24"/>
                <w:lang w:val="nl-NL"/>
              </w:rPr>
            </w:pPr>
            <w:r w:rsidRPr="00010F11">
              <w:rPr>
                <w:rFonts w:ascii="Times New Roman" w:eastAsia="Times New Roman" w:hAnsi="Times New Roman"/>
                <w:sz w:val="24"/>
                <w:szCs w:val="24"/>
                <w:lang w:val="nl-NL"/>
              </w:rPr>
              <w:t>6</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27</w:t>
            </w:r>
          </w:p>
        </w:tc>
        <w:tc>
          <w:tcPr>
            <w:tcW w:w="971" w:type="pct"/>
            <w:shd w:val="clear" w:color="auto" w:fill="auto"/>
          </w:tcPr>
          <w:p w14:paraId="1E0BFD96" w14:textId="5EC2506B" w:rsidR="00010F11" w:rsidRPr="00C32781" w:rsidRDefault="00010F11" w:rsidP="00010F11">
            <w:pPr>
              <w:tabs>
                <w:tab w:val="left" w:pos="540"/>
              </w:tabs>
              <w:spacing w:before="120" w:after="0" w:line="240" w:lineRule="auto"/>
              <w:jc w:val="center"/>
              <w:rPr>
                <w:rFonts w:ascii="Times New Roman" w:eastAsia="Times New Roman" w:hAnsi="Times New Roman"/>
                <w:sz w:val="24"/>
                <w:szCs w:val="24"/>
                <w:lang w:val="nl-NL"/>
              </w:rPr>
            </w:pPr>
            <w:r w:rsidRPr="00010F11">
              <w:rPr>
                <w:rFonts w:ascii="Times New Roman" w:eastAsia="Times New Roman" w:hAnsi="Times New Roman"/>
                <w:sz w:val="24"/>
                <w:szCs w:val="24"/>
                <w:lang w:val="nl-NL"/>
              </w:rPr>
              <w:t>7</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60</w:t>
            </w:r>
          </w:p>
        </w:tc>
      </w:tr>
      <w:tr w:rsidR="00010F11" w:rsidRPr="004647B9" w14:paraId="2B8F060E" w14:textId="77777777" w:rsidTr="00FE2BC9">
        <w:tc>
          <w:tcPr>
            <w:tcW w:w="2086" w:type="pct"/>
            <w:shd w:val="clear" w:color="auto" w:fill="auto"/>
            <w:vAlign w:val="center"/>
          </w:tcPr>
          <w:p w14:paraId="687A447B" w14:textId="56D5388C" w:rsidR="00010F11" w:rsidRPr="004647B9" w:rsidRDefault="00010F11" w:rsidP="00010F11">
            <w:pPr>
              <w:tabs>
                <w:tab w:val="left" w:pos="223"/>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3.Tài sản khác</w:t>
            </w:r>
          </w:p>
        </w:tc>
        <w:tc>
          <w:tcPr>
            <w:tcW w:w="971" w:type="pct"/>
            <w:shd w:val="clear" w:color="auto" w:fill="auto"/>
          </w:tcPr>
          <w:p w14:paraId="35A2188C" w14:textId="4A151ED0" w:rsidR="00010F11" w:rsidRPr="00C32781" w:rsidRDefault="00010F11" w:rsidP="00010F11">
            <w:pPr>
              <w:tabs>
                <w:tab w:val="left" w:pos="540"/>
              </w:tabs>
              <w:spacing w:before="120" w:after="0" w:line="240" w:lineRule="auto"/>
              <w:jc w:val="center"/>
              <w:rPr>
                <w:rFonts w:ascii="Times New Roman" w:eastAsia="Times New Roman" w:hAnsi="Times New Roman"/>
                <w:sz w:val="24"/>
                <w:szCs w:val="24"/>
                <w:lang w:val="nl-NL"/>
              </w:rPr>
            </w:pPr>
            <w:r w:rsidRPr="00010F11">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55</w:t>
            </w:r>
          </w:p>
        </w:tc>
        <w:tc>
          <w:tcPr>
            <w:tcW w:w="971" w:type="pct"/>
            <w:shd w:val="clear" w:color="auto" w:fill="auto"/>
          </w:tcPr>
          <w:p w14:paraId="269481FC" w14:textId="298C5DD2" w:rsidR="00010F11" w:rsidRPr="00C32781" w:rsidRDefault="00010F11" w:rsidP="00010F11">
            <w:pPr>
              <w:tabs>
                <w:tab w:val="left" w:pos="540"/>
              </w:tabs>
              <w:spacing w:before="120" w:after="0" w:line="240" w:lineRule="auto"/>
              <w:jc w:val="center"/>
              <w:rPr>
                <w:rFonts w:ascii="Times New Roman" w:eastAsia="Times New Roman" w:hAnsi="Times New Roman"/>
                <w:sz w:val="24"/>
                <w:szCs w:val="24"/>
                <w:lang w:val="nl-NL"/>
              </w:rPr>
            </w:pPr>
            <w:r w:rsidRPr="00010F11">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73</w:t>
            </w:r>
          </w:p>
        </w:tc>
        <w:tc>
          <w:tcPr>
            <w:tcW w:w="971" w:type="pct"/>
            <w:shd w:val="clear" w:color="auto" w:fill="auto"/>
          </w:tcPr>
          <w:p w14:paraId="2A4B7332" w14:textId="2E755259" w:rsidR="00010F11" w:rsidRPr="00C32781" w:rsidRDefault="00010F11" w:rsidP="00010F11">
            <w:pPr>
              <w:tabs>
                <w:tab w:val="left" w:pos="540"/>
              </w:tabs>
              <w:spacing w:before="120" w:after="0" w:line="240" w:lineRule="auto"/>
              <w:jc w:val="center"/>
              <w:rPr>
                <w:rFonts w:ascii="Times New Roman" w:eastAsia="Times New Roman" w:hAnsi="Times New Roman"/>
                <w:sz w:val="24"/>
                <w:szCs w:val="24"/>
                <w:lang w:val="nl-NL"/>
              </w:rPr>
            </w:pPr>
            <w:r w:rsidRPr="00010F11">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48</w:t>
            </w:r>
          </w:p>
        </w:tc>
      </w:tr>
      <w:tr w:rsidR="00756A76" w:rsidRPr="004647B9" w14:paraId="72495D15" w14:textId="77777777" w:rsidTr="00FE2BC9">
        <w:tc>
          <w:tcPr>
            <w:tcW w:w="2086" w:type="pct"/>
            <w:shd w:val="clear" w:color="auto" w:fill="auto"/>
            <w:vAlign w:val="center"/>
          </w:tcPr>
          <w:p w14:paraId="28E8061A" w14:textId="77777777" w:rsidR="008971AB" w:rsidRPr="004647B9" w:rsidRDefault="008971AB" w:rsidP="0083372E">
            <w:pPr>
              <w:tabs>
                <w:tab w:val="left" w:pos="540"/>
              </w:tabs>
              <w:spacing w:before="120" w:after="0" w:line="240" w:lineRule="auto"/>
              <w:jc w:val="both"/>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Cộng</w:t>
            </w:r>
          </w:p>
        </w:tc>
        <w:tc>
          <w:tcPr>
            <w:tcW w:w="971" w:type="pct"/>
            <w:shd w:val="clear" w:color="auto" w:fill="auto"/>
            <w:vAlign w:val="center"/>
          </w:tcPr>
          <w:p w14:paraId="683EE411" w14:textId="65C84D61" w:rsidR="008971AB" w:rsidRPr="004647B9" w:rsidRDefault="008971AB"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r w:rsidR="00FE2BC9">
              <w:rPr>
                <w:rFonts w:ascii="Times New Roman" w:eastAsia="Times New Roman" w:hAnsi="Times New Roman"/>
                <w:b/>
                <w:sz w:val="24"/>
                <w:szCs w:val="24"/>
                <w:lang w:val="nl-NL"/>
              </w:rPr>
              <w:t>,00</w:t>
            </w:r>
          </w:p>
        </w:tc>
        <w:tc>
          <w:tcPr>
            <w:tcW w:w="971" w:type="pct"/>
            <w:shd w:val="clear" w:color="auto" w:fill="auto"/>
            <w:vAlign w:val="center"/>
          </w:tcPr>
          <w:p w14:paraId="4FC04B19" w14:textId="2431C748" w:rsidR="008971AB" w:rsidRPr="004647B9" w:rsidRDefault="00747879"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r w:rsidR="00FE2BC9">
              <w:rPr>
                <w:rFonts w:ascii="Times New Roman" w:eastAsia="Times New Roman" w:hAnsi="Times New Roman"/>
                <w:b/>
                <w:sz w:val="24"/>
                <w:szCs w:val="24"/>
                <w:lang w:val="nl-NL"/>
              </w:rPr>
              <w:t>,00</w:t>
            </w:r>
          </w:p>
        </w:tc>
        <w:tc>
          <w:tcPr>
            <w:tcW w:w="971" w:type="pct"/>
            <w:shd w:val="clear" w:color="auto" w:fill="auto"/>
            <w:vAlign w:val="center"/>
          </w:tcPr>
          <w:p w14:paraId="1F0DDFA4" w14:textId="1E924D6E" w:rsidR="008971AB" w:rsidRPr="004647B9" w:rsidRDefault="005E4A6D"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r w:rsidR="00FE2BC9">
              <w:rPr>
                <w:rFonts w:ascii="Times New Roman" w:eastAsia="Times New Roman" w:hAnsi="Times New Roman"/>
                <w:b/>
                <w:sz w:val="24"/>
                <w:szCs w:val="24"/>
                <w:lang w:val="nl-NL"/>
              </w:rPr>
              <w:t>,00</w:t>
            </w:r>
          </w:p>
        </w:tc>
      </w:tr>
    </w:tbl>
    <w:p w14:paraId="30C96321" w14:textId="714AF476" w:rsidR="00756A76" w:rsidRPr="004647B9" w:rsidRDefault="00A44447" w:rsidP="00315A8E">
      <w:pPr>
        <w:shd w:val="clear" w:color="auto" w:fill="FFFFFF"/>
        <w:tabs>
          <w:tab w:val="left" w:pos="540"/>
        </w:tabs>
        <w:spacing w:before="120" w:after="0" w:line="360" w:lineRule="auto"/>
        <w:jc w:val="both"/>
        <w:rPr>
          <w:rFonts w:ascii="Times New Roman" w:hAnsi="Times New Roman"/>
          <w:b/>
          <w:sz w:val="24"/>
          <w:szCs w:val="24"/>
          <w:lang w:val="nl-NL"/>
        </w:rPr>
      </w:pPr>
      <w:r w:rsidRPr="001330FC">
        <w:rPr>
          <w:rFonts w:ascii="Times New Roman" w:hAnsi="Times New Roman"/>
          <w:b/>
          <w:sz w:val="24"/>
          <w:szCs w:val="24"/>
          <w:lang w:val="nl-NL"/>
        </w:rPr>
        <w:t>2.</w:t>
      </w:r>
      <w:r w:rsidR="00BE6F63" w:rsidRPr="001330FC">
        <w:rPr>
          <w:rFonts w:ascii="Times New Roman" w:hAnsi="Times New Roman"/>
          <w:b/>
          <w:sz w:val="24"/>
          <w:szCs w:val="24"/>
          <w:lang w:val="nl-NL"/>
        </w:rPr>
        <w:t>2. Chi tiết chỉ tiêu hoạt động</w:t>
      </w:r>
      <w:r w:rsidR="00505ACF" w:rsidRPr="001330FC">
        <w:rPr>
          <w:rFonts w:ascii="Times New Roman" w:hAnsi="Times New Roman"/>
          <w:b/>
          <w:sz w:val="24"/>
          <w:szCs w:val="24"/>
          <w:lang w:val="nl-NL"/>
        </w:rPr>
        <w: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866"/>
        <w:gridCol w:w="1802"/>
        <w:gridCol w:w="1802"/>
        <w:gridCol w:w="1884"/>
      </w:tblGrid>
      <w:tr w:rsidR="00E67E98" w:rsidRPr="00A90AB7" w14:paraId="21034AD9" w14:textId="77777777" w:rsidTr="00FE2BC9">
        <w:tc>
          <w:tcPr>
            <w:tcW w:w="2066" w:type="pct"/>
            <w:shd w:val="clear" w:color="auto" w:fill="auto"/>
            <w:vAlign w:val="center"/>
          </w:tcPr>
          <w:p w14:paraId="1D5B1819" w14:textId="77777777" w:rsidR="00E67E98" w:rsidRPr="004647B9" w:rsidRDefault="00E67E98" w:rsidP="00E67E98">
            <w:pPr>
              <w:tabs>
                <w:tab w:val="left" w:pos="540"/>
              </w:tabs>
              <w:spacing w:before="120" w:after="120" w:line="360" w:lineRule="auto"/>
              <w:ind w:left="57" w:right="57"/>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Chi tiêu</w:t>
            </w:r>
          </w:p>
        </w:tc>
        <w:tc>
          <w:tcPr>
            <w:tcW w:w="963" w:type="pct"/>
            <w:shd w:val="clear" w:color="auto" w:fill="auto"/>
            <w:vAlign w:val="center"/>
          </w:tcPr>
          <w:p w14:paraId="4AB83160" w14:textId="30C41E9F" w:rsidR="00E67E98" w:rsidRPr="00B17BB1" w:rsidRDefault="00D20DF1" w:rsidP="00E67E98">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C31909">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C31909">
              <w:rPr>
                <w:rFonts w:ascii="Times New Roman" w:eastAsia="Times New Roman" w:hAnsi="Times New Roman"/>
                <w:b/>
                <w:sz w:val="24"/>
                <w:szCs w:val="24"/>
                <w:lang w:val="nl-NL"/>
              </w:rPr>
              <w:t>12</w:t>
            </w:r>
            <w:r w:rsidR="00E67E98" w:rsidRPr="004647B9">
              <w:rPr>
                <w:rFonts w:ascii="Times New Roman" w:eastAsia="Times New Roman" w:hAnsi="Times New Roman"/>
                <w:b/>
                <w:sz w:val="24"/>
                <w:szCs w:val="24"/>
                <w:lang w:val="nl-NL"/>
              </w:rPr>
              <w:t>/202</w:t>
            </w:r>
            <w:r w:rsidR="00E67E98">
              <w:rPr>
                <w:rFonts w:ascii="Times New Roman" w:eastAsia="Times New Roman" w:hAnsi="Times New Roman"/>
                <w:b/>
                <w:sz w:val="24"/>
                <w:szCs w:val="24"/>
                <w:lang w:val="nl-NL"/>
              </w:rPr>
              <w:t>3</w:t>
            </w:r>
          </w:p>
        </w:tc>
        <w:tc>
          <w:tcPr>
            <w:tcW w:w="963" w:type="pct"/>
            <w:shd w:val="clear" w:color="auto" w:fill="auto"/>
            <w:vAlign w:val="center"/>
          </w:tcPr>
          <w:p w14:paraId="174B15DB" w14:textId="46EB2E21" w:rsidR="00E67E98" w:rsidRPr="00B17BB1" w:rsidRDefault="00D20DF1" w:rsidP="00E67E98">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C31909">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C31909">
              <w:rPr>
                <w:rFonts w:ascii="Times New Roman" w:eastAsia="Times New Roman" w:hAnsi="Times New Roman"/>
                <w:b/>
                <w:sz w:val="24"/>
                <w:szCs w:val="24"/>
                <w:lang w:val="nl-NL"/>
              </w:rPr>
              <w:t>12</w:t>
            </w:r>
            <w:r w:rsidR="00E67E98" w:rsidRPr="004647B9">
              <w:rPr>
                <w:rFonts w:ascii="Times New Roman" w:eastAsia="Times New Roman" w:hAnsi="Times New Roman"/>
                <w:b/>
                <w:sz w:val="24"/>
                <w:szCs w:val="24"/>
                <w:lang w:val="nl-NL"/>
              </w:rPr>
              <w:t>/20</w:t>
            </w:r>
            <w:r w:rsidR="00E67E98">
              <w:rPr>
                <w:rFonts w:ascii="Times New Roman" w:eastAsia="Times New Roman" w:hAnsi="Times New Roman"/>
                <w:b/>
                <w:sz w:val="24"/>
                <w:szCs w:val="24"/>
                <w:lang w:val="nl-NL"/>
              </w:rPr>
              <w:t>22</w:t>
            </w:r>
          </w:p>
        </w:tc>
        <w:tc>
          <w:tcPr>
            <w:tcW w:w="1007" w:type="pct"/>
            <w:shd w:val="clear" w:color="auto" w:fill="auto"/>
            <w:vAlign w:val="center"/>
          </w:tcPr>
          <w:p w14:paraId="36922E34" w14:textId="3C5B8BE6" w:rsidR="00E67E98" w:rsidRPr="00B17BB1" w:rsidRDefault="00D20DF1" w:rsidP="00E67E98">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C31909">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C31909">
              <w:rPr>
                <w:rFonts w:ascii="Times New Roman" w:eastAsia="Times New Roman" w:hAnsi="Times New Roman"/>
                <w:b/>
                <w:sz w:val="24"/>
                <w:szCs w:val="24"/>
                <w:lang w:val="nl-NL"/>
              </w:rPr>
              <w:t>12</w:t>
            </w:r>
            <w:r w:rsidR="00E67E98" w:rsidRPr="004647B9">
              <w:rPr>
                <w:rFonts w:ascii="Times New Roman" w:eastAsia="Times New Roman" w:hAnsi="Times New Roman"/>
                <w:b/>
                <w:sz w:val="24"/>
                <w:szCs w:val="24"/>
                <w:lang w:val="nl-NL"/>
              </w:rPr>
              <w:t>/20</w:t>
            </w:r>
            <w:r w:rsidR="00E67E98">
              <w:rPr>
                <w:rFonts w:ascii="Times New Roman" w:eastAsia="Times New Roman" w:hAnsi="Times New Roman"/>
                <w:b/>
                <w:sz w:val="24"/>
                <w:szCs w:val="24"/>
                <w:lang w:val="nl-NL"/>
              </w:rPr>
              <w:t>21</w:t>
            </w:r>
          </w:p>
        </w:tc>
      </w:tr>
      <w:tr w:rsidR="00010F11" w:rsidRPr="00A90AB7" w14:paraId="1582E00A" w14:textId="77777777" w:rsidTr="00FE2BC9">
        <w:trPr>
          <w:trHeight w:val="648"/>
        </w:trPr>
        <w:tc>
          <w:tcPr>
            <w:tcW w:w="2066" w:type="pct"/>
            <w:shd w:val="clear" w:color="auto" w:fill="auto"/>
            <w:vAlign w:val="center"/>
          </w:tcPr>
          <w:p w14:paraId="165B2506" w14:textId="0ACE3575" w:rsidR="00010F11" w:rsidRPr="00A90AB7" w:rsidRDefault="00010F11" w:rsidP="00010F1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r>
              <w:t xml:space="preserve"> </w:t>
            </w:r>
            <w:r w:rsidRPr="00E11368">
              <w:rPr>
                <w:rFonts w:ascii="Times New Roman" w:eastAsia="Times New Roman" w:hAnsi="Times New Roman"/>
                <w:sz w:val="24"/>
                <w:szCs w:val="24"/>
                <w:lang w:val="nl-NL"/>
              </w:rPr>
              <w:t>NAV của Quỹ (VND)</w:t>
            </w:r>
          </w:p>
        </w:tc>
        <w:tc>
          <w:tcPr>
            <w:tcW w:w="963" w:type="pct"/>
            <w:shd w:val="clear" w:color="auto" w:fill="auto"/>
          </w:tcPr>
          <w:p w14:paraId="41A827E1" w14:textId="6A1D461D" w:rsidR="00010F11" w:rsidRPr="003E0EF5" w:rsidRDefault="00010F11" w:rsidP="00010F11">
            <w:pPr>
              <w:tabs>
                <w:tab w:val="left" w:pos="540"/>
              </w:tabs>
              <w:spacing w:before="120" w:after="120" w:line="240" w:lineRule="auto"/>
              <w:ind w:left="57" w:right="57"/>
              <w:jc w:val="center"/>
              <w:rPr>
                <w:rFonts w:ascii="Times New Roman" w:eastAsia="Times New Roman" w:hAnsi="Times New Roman"/>
                <w:sz w:val="24"/>
                <w:szCs w:val="24"/>
                <w:lang w:val="nl-NL"/>
              </w:rPr>
            </w:pPr>
            <w:r w:rsidRPr="00010F11">
              <w:rPr>
                <w:rFonts w:ascii="Times New Roman" w:eastAsia="Times New Roman" w:hAnsi="Times New Roman"/>
                <w:sz w:val="24"/>
                <w:szCs w:val="24"/>
                <w:lang w:val="nl-NL"/>
              </w:rPr>
              <w:t xml:space="preserve"> 161</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351</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154</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 xml:space="preserve">608 </w:t>
            </w:r>
          </w:p>
        </w:tc>
        <w:tc>
          <w:tcPr>
            <w:tcW w:w="963" w:type="pct"/>
            <w:shd w:val="clear" w:color="auto" w:fill="auto"/>
          </w:tcPr>
          <w:p w14:paraId="6B0EAE44" w14:textId="03A0148E" w:rsidR="00010F11" w:rsidRPr="003E0EF5" w:rsidRDefault="00010F11" w:rsidP="00010F11">
            <w:pPr>
              <w:tabs>
                <w:tab w:val="left" w:pos="540"/>
              </w:tabs>
              <w:spacing w:before="120" w:after="120" w:line="240" w:lineRule="auto"/>
              <w:ind w:right="57"/>
              <w:jc w:val="center"/>
              <w:rPr>
                <w:rFonts w:ascii="Times New Roman" w:eastAsia="Times New Roman" w:hAnsi="Times New Roman"/>
                <w:sz w:val="24"/>
                <w:szCs w:val="24"/>
                <w:lang w:val="nl-NL"/>
              </w:rPr>
            </w:pPr>
            <w:r w:rsidRPr="00010F11">
              <w:rPr>
                <w:rFonts w:ascii="Times New Roman" w:eastAsia="Times New Roman" w:hAnsi="Times New Roman"/>
                <w:sz w:val="24"/>
                <w:szCs w:val="24"/>
                <w:lang w:val="nl-NL"/>
              </w:rPr>
              <w:t xml:space="preserve"> 132</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813</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824</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 xml:space="preserve">473  </w:t>
            </w:r>
          </w:p>
        </w:tc>
        <w:tc>
          <w:tcPr>
            <w:tcW w:w="1007" w:type="pct"/>
            <w:shd w:val="clear" w:color="auto" w:fill="auto"/>
          </w:tcPr>
          <w:p w14:paraId="2D404424" w14:textId="65127670" w:rsidR="00010F11" w:rsidRPr="003E0EF5" w:rsidRDefault="00010F11" w:rsidP="00010F11">
            <w:pPr>
              <w:tabs>
                <w:tab w:val="left" w:pos="540"/>
              </w:tabs>
              <w:spacing w:before="120" w:after="120" w:line="240" w:lineRule="auto"/>
              <w:ind w:left="57" w:right="57"/>
              <w:jc w:val="center"/>
              <w:rPr>
                <w:rFonts w:ascii="Times New Roman" w:eastAsia="Times New Roman" w:hAnsi="Times New Roman"/>
                <w:sz w:val="24"/>
                <w:szCs w:val="24"/>
                <w:lang w:val="nl-NL"/>
              </w:rPr>
            </w:pPr>
            <w:r w:rsidRPr="00010F11">
              <w:rPr>
                <w:rFonts w:ascii="Times New Roman" w:eastAsia="Times New Roman" w:hAnsi="Times New Roman"/>
                <w:sz w:val="24"/>
                <w:szCs w:val="24"/>
                <w:lang w:val="nl-NL"/>
              </w:rPr>
              <w:t xml:space="preserve"> 155</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356</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470</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595</w:t>
            </w:r>
          </w:p>
        </w:tc>
      </w:tr>
      <w:tr w:rsidR="00010F11" w:rsidRPr="00A90AB7" w14:paraId="740B9023" w14:textId="77777777" w:rsidTr="00FE2BC9">
        <w:trPr>
          <w:trHeight w:val="666"/>
        </w:trPr>
        <w:tc>
          <w:tcPr>
            <w:tcW w:w="2066" w:type="pct"/>
            <w:shd w:val="clear" w:color="auto" w:fill="auto"/>
            <w:vAlign w:val="center"/>
          </w:tcPr>
          <w:p w14:paraId="58D993A2" w14:textId="38821DA1" w:rsidR="00010F11" w:rsidRPr="00A90AB7" w:rsidRDefault="00010F11" w:rsidP="00010F1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r>
              <w:t xml:space="preserve"> </w:t>
            </w:r>
            <w:r w:rsidRPr="00E11368">
              <w:rPr>
                <w:rFonts w:ascii="Times New Roman" w:eastAsia="Times New Roman" w:hAnsi="Times New Roman"/>
                <w:sz w:val="24"/>
                <w:szCs w:val="24"/>
                <w:lang w:val="nl-NL"/>
              </w:rPr>
              <w:t>Tổng CCQ đang lưu hành (số lượng)</w:t>
            </w:r>
          </w:p>
        </w:tc>
        <w:tc>
          <w:tcPr>
            <w:tcW w:w="963" w:type="pct"/>
            <w:shd w:val="clear" w:color="auto" w:fill="auto"/>
          </w:tcPr>
          <w:p w14:paraId="2E0189F1" w14:textId="308A4D09" w:rsidR="00010F11" w:rsidRPr="003E0EF5" w:rsidRDefault="00010F11" w:rsidP="00010F11">
            <w:pPr>
              <w:tabs>
                <w:tab w:val="left" w:pos="540"/>
              </w:tabs>
              <w:spacing w:before="120" w:after="120" w:line="240" w:lineRule="auto"/>
              <w:ind w:left="57" w:right="57"/>
              <w:jc w:val="center"/>
              <w:rPr>
                <w:rFonts w:ascii="Times New Roman" w:eastAsia="Times New Roman" w:hAnsi="Times New Roman"/>
                <w:sz w:val="24"/>
                <w:szCs w:val="24"/>
                <w:lang w:val="nl-NL"/>
              </w:rPr>
            </w:pPr>
            <w:r w:rsidRPr="00010F11">
              <w:rPr>
                <w:rFonts w:ascii="Times New Roman" w:eastAsia="Times New Roman" w:hAnsi="Times New Roman"/>
                <w:sz w:val="24"/>
                <w:szCs w:val="24"/>
                <w:lang w:val="nl-NL"/>
              </w:rPr>
              <w:t xml:space="preserve"> 11</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615</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286</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 xml:space="preserve">07   </w:t>
            </w:r>
          </w:p>
        </w:tc>
        <w:tc>
          <w:tcPr>
            <w:tcW w:w="963" w:type="pct"/>
            <w:shd w:val="clear" w:color="auto" w:fill="auto"/>
          </w:tcPr>
          <w:p w14:paraId="0C159F19" w14:textId="25527EBD" w:rsidR="00010F11" w:rsidRPr="003E0EF5" w:rsidRDefault="00010F11" w:rsidP="00010F11">
            <w:pPr>
              <w:tabs>
                <w:tab w:val="left" w:pos="540"/>
              </w:tabs>
              <w:spacing w:before="120" w:after="120" w:line="240" w:lineRule="auto"/>
              <w:ind w:left="57" w:right="57"/>
              <w:jc w:val="center"/>
              <w:rPr>
                <w:rFonts w:ascii="Times New Roman" w:eastAsia="Times New Roman" w:hAnsi="Times New Roman"/>
                <w:sz w:val="24"/>
                <w:szCs w:val="24"/>
                <w:lang w:val="nl-NL"/>
              </w:rPr>
            </w:pPr>
            <w:r w:rsidRPr="00010F11">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797</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931</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 xml:space="preserve">20   </w:t>
            </w:r>
          </w:p>
        </w:tc>
        <w:tc>
          <w:tcPr>
            <w:tcW w:w="1007" w:type="pct"/>
            <w:shd w:val="clear" w:color="auto" w:fill="auto"/>
          </w:tcPr>
          <w:p w14:paraId="34852C91" w14:textId="1A1A8787" w:rsidR="00010F11" w:rsidRPr="003E0EF5" w:rsidRDefault="00010F11" w:rsidP="00010F11">
            <w:pPr>
              <w:tabs>
                <w:tab w:val="left" w:pos="540"/>
              </w:tabs>
              <w:spacing w:before="120" w:after="120" w:line="240" w:lineRule="auto"/>
              <w:ind w:left="57" w:right="57"/>
              <w:jc w:val="center"/>
              <w:rPr>
                <w:rFonts w:ascii="Times New Roman" w:eastAsia="Times New Roman" w:hAnsi="Times New Roman"/>
                <w:sz w:val="24"/>
                <w:szCs w:val="24"/>
                <w:lang w:val="nl-NL"/>
              </w:rPr>
            </w:pPr>
            <w:r w:rsidRPr="00010F11">
              <w:rPr>
                <w:rFonts w:ascii="Times New Roman" w:eastAsia="Times New Roman" w:hAnsi="Times New Roman"/>
                <w:sz w:val="24"/>
                <w:szCs w:val="24"/>
                <w:lang w:val="nl-NL"/>
              </w:rPr>
              <w:t xml:space="preserve"> 9</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459</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789</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 xml:space="preserve">45   </w:t>
            </w:r>
          </w:p>
        </w:tc>
      </w:tr>
      <w:tr w:rsidR="00010F11" w:rsidRPr="00A90AB7" w14:paraId="0F7D1AC6" w14:textId="77777777" w:rsidTr="00FE2BC9">
        <w:tc>
          <w:tcPr>
            <w:tcW w:w="2066" w:type="pct"/>
            <w:shd w:val="clear" w:color="auto" w:fill="auto"/>
            <w:vAlign w:val="center"/>
          </w:tcPr>
          <w:p w14:paraId="7AA58A45" w14:textId="038C9255" w:rsidR="00010F11" w:rsidRPr="00A90AB7" w:rsidRDefault="00010F11" w:rsidP="00010F1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r>
              <w:t xml:space="preserve"> </w:t>
            </w:r>
            <w:r w:rsidRPr="00E11368">
              <w:rPr>
                <w:rFonts w:ascii="Times New Roman" w:eastAsia="Times New Roman" w:hAnsi="Times New Roman"/>
                <w:sz w:val="24"/>
                <w:szCs w:val="24"/>
                <w:lang w:val="nl-NL"/>
              </w:rPr>
              <w:t>NAV của một đơn vị CCQ (VND)</w:t>
            </w:r>
          </w:p>
        </w:tc>
        <w:tc>
          <w:tcPr>
            <w:tcW w:w="963" w:type="pct"/>
            <w:shd w:val="clear" w:color="auto" w:fill="auto"/>
          </w:tcPr>
          <w:p w14:paraId="3BB66723" w14:textId="1FD7CF71" w:rsidR="00010F11" w:rsidRPr="003E0EF5" w:rsidRDefault="00010F11" w:rsidP="00010F11">
            <w:pPr>
              <w:tabs>
                <w:tab w:val="left" w:pos="540"/>
              </w:tabs>
              <w:spacing w:before="120" w:after="120" w:line="240" w:lineRule="auto"/>
              <w:ind w:left="57" w:right="57"/>
              <w:jc w:val="center"/>
              <w:rPr>
                <w:rFonts w:ascii="Times New Roman" w:eastAsia="Times New Roman" w:hAnsi="Times New Roman"/>
                <w:sz w:val="24"/>
                <w:szCs w:val="24"/>
                <w:lang w:val="nl-NL"/>
              </w:rPr>
            </w:pPr>
            <w:r w:rsidRPr="00010F11">
              <w:rPr>
                <w:rFonts w:ascii="Times New Roman" w:eastAsia="Times New Roman" w:hAnsi="Times New Roman"/>
                <w:sz w:val="24"/>
                <w:szCs w:val="24"/>
                <w:lang w:val="nl-NL"/>
              </w:rPr>
              <w:t xml:space="preserve"> 13</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891</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 xml:space="preserve">27   </w:t>
            </w:r>
          </w:p>
        </w:tc>
        <w:tc>
          <w:tcPr>
            <w:tcW w:w="963" w:type="pct"/>
            <w:shd w:val="clear" w:color="auto" w:fill="auto"/>
          </w:tcPr>
          <w:p w14:paraId="5F9F7D1C" w14:textId="475BAB67" w:rsidR="00010F11" w:rsidRPr="003E0EF5" w:rsidRDefault="00010F11" w:rsidP="00010F11">
            <w:pPr>
              <w:tabs>
                <w:tab w:val="left" w:pos="540"/>
              </w:tabs>
              <w:spacing w:before="120" w:after="120" w:line="240" w:lineRule="auto"/>
              <w:ind w:left="57" w:right="57"/>
              <w:jc w:val="center"/>
              <w:rPr>
                <w:rFonts w:ascii="Times New Roman" w:eastAsia="Times New Roman" w:hAnsi="Times New Roman"/>
                <w:sz w:val="24"/>
                <w:szCs w:val="24"/>
                <w:lang w:val="nl-NL"/>
              </w:rPr>
            </w:pPr>
            <w:r w:rsidRPr="00010F11">
              <w:rPr>
                <w:rFonts w:ascii="Times New Roman" w:eastAsia="Times New Roman" w:hAnsi="Times New Roman"/>
                <w:sz w:val="24"/>
                <w:szCs w:val="24"/>
                <w:lang w:val="nl-NL"/>
              </w:rPr>
              <w:t xml:space="preserve"> 12</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299</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 xml:space="preserve">93   </w:t>
            </w:r>
          </w:p>
        </w:tc>
        <w:tc>
          <w:tcPr>
            <w:tcW w:w="1007" w:type="pct"/>
            <w:shd w:val="clear" w:color="auto" w:fill="auto"/>
          </w:tcPr>
          <w:p w14:paraId="048F7B62" w14:textId="4713E1F1" w:rsidR="00010F11" w:rsidRPr="003E0EF5" w:rsidRDefault="00010F11" w:rsidP="00010F11">
            <w:pPr>
              <w:tabs>
                <w:tab w:val="left" w:pos="540"/>
              </w:tabs>
              <w:spacing w:before="120" w:after="120" w:line="240" w:lineRule="auto"/>
              <w:ind w:left="57" w:right="57"/>
              <w:jc w:val="center"/>
              <w:rPr>
                <w:rFonts w:ascii="Times New Roman" w:eastAsia="Times New Roman" w:hAnsi="Times New Roman"/>
                <w:sz w:val="24"/>
                <w:szCs w:val="24"/>
                <w:lang w:val="nl-NL"/>
              </w:rPr>
            </w:pPr>
            <w:r w:rsidRPr="00010F11">
              <w:rPr>
                <w:rFonts w:ascii="Times New Roman" w:eastAsia="Times New Roman" w:hAnsi="Times New Roman"/>
                <w:sz w:val="24"/>
                <w:szCs w:val="24"/>
                <w:lang w:val="nl-NL"/>
              </w:rPr>
              <w:t xml:space="preserve"> 16</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422</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 xml:space="preserve">82   </w:t>
            </w:r>
          </w:p>
        </w:tc>
      </w:tr>
      <w:tr w:rsidR="00010F11" w:rsidRPr="00A90AB7" w14:paraId="395AB2AB" w14:textId="77777777" w:rsidTr="00FE2BC9">
        <w:tc>
          <w:tcPr>
            <w:tcW w:w="2066" w:type="pct"/>
            <w:shd w:val="clear" w:color="auto" w:fill="auto"/>
            <w:vAlign w:val="center"/>
          </w:tcPr>
          <w:p w14:paraId="4D78CBEF" w14:textId="387FCDF9" w:rsidR="00010F11" w:rsidRPr="00A90AB7" w:rsidRDefault="00010F11" w:rsidP="00010F1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4.</w:t>
            </w:r>
            <w:r>
              <w:t xml:space="preserve"> </w:t>
            </w:r>
            <w:r w:rsidRPr="00E11368">
              <w:rPr>
                <w:rFonts w:ascii="Times New Roman" w:eastAsia="Times New Roman" w:hAnsi="Times New Roman"/>
                <w:sz w:val="24"/>
                <w:szCs w:val="24"/>
                <w:lang w:val="nl-NL"/>
              </w:rPr>
              <w:t>NAV cao nhất của 1 đơn vị CCQ trong kỳ báo cáo (VND)</w:t>
            </w:r>
          </w:p>
        </w:tc>
        <w:tc>
          <w:tcPr>
            <w:tcW w:w="963" w:type="pct"/>
            <w:shd w:val="clear" w:color="auto" w:fill="auto"/>
          </w:tcPr>
          <w:p w14:paraId="2E347DE5" w14:textId="0A1B8E78" w:rsidR="00010F11" w:rsidRPr="003E0EF5" w:rsidRDefault="00010F11" w:rsidP="00010F11">
            <w:pPr>
              <w:tabs>
                <w:tab w:val="left" w:pos="540"/>
              </w:tabs>
              <w:spacing w:before="120" w:after="120" w:line="240" w:lineRule="auto"/>
              <w:ind w:left="57" w:right="57"/>
              <w:jc w:val="center"/>
              <w:rPr>
                <w:rFonts w:ascii="Times New Roman" w:eastAsia="Times New Roman" w:hAnsi="Times New Roman"/>
                <w:sz w:val="24"/>
                <w:szCs w:val="24"/>
                <w:lang w:val="nl-NL"/>
              </w:rPr>
            </w:pPr>
            <w:r w:rsidRPr="00010F11">
              <w:rPr>
                <w:rFonts w:ascii="Times New Roman" w:eastAsia="Times New Roman" w:hAnsi="Times New Roman"/>
                <w:sz w:val="24"/>
                <w:szCs w:val="24"/>
                <w:lang w:val="nl-NL"/>
              </w:rPr>
              <w:t xml:space="preserve"> 14</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069</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 xml:space="preserve">14   </w:t>
            </w:r>
          </w:p>
        </w:tc>
        <w:tc>
          <w:tcPr>
            <w:tcW w:w="963" w:type="pct"/>
            <w:shd w:val="clear" w:color="auto" w:fill="auto"/>
          </w:tcPr>
          <w:p w14:paraId="2ECE8D83" w14:textId="68CFAA9C" w:rsidR="00010F11" w:rsidRPr="003E0EF5" w:rsidRDefault="00010F11" w:rsidP="00010F11">
            <w:pPr>
              <w:tabs>
                <w:tab w:val="left" w:pos="540"/>
              </w:tabs>
              <w:spacing w:before="120" w:after="120" w:line="240" w:lineRule="auto"/>
              <w:ind w:left="57" w:right="57"/>
              <w:jc w:val="center"/>
              <w:rPr>
                <w:rFonts w:ascii="Times New Roman" w:eastAsia="Times New Roman" w:hAnsi="Times New Roman"/>
                <w:sz w:val="24"/>
                <w:szCs w:val="24"/>
                <w:lang w:val="nl-NL"/>
              </w:rPr>
            </w:pPr>
            <w:r w:rsidRPr="00010F11">
              <w:rPr>
                <w:rFonts w:ascii="Times New Roman" w:eastAsia="Times New Roman" w:hAnsi="Times New Roman"/>
                <w:sz w:val="24"/>
                <w:szCs w:val="24"/>
                <w:lang w:val="nl-NL"/>
              </w:rPr>
              <w:t xml:space="preserve"> 12</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979</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 xml:space="preserve">93   </w:t>
            </w:r>
          </w:p>
        </w:tc>
        <w:tc>
          <w:tcPr>
            <w:tcW w:w="1007" w:type="pct"/>
            <w:shd w:val="clear" w:color="auto" w:fill="auto"/>
          </w:tcPr>
          <w:p w14:paraId="4517B3D4" w14:textId="7B8009CE" w:rsidR="00010F11" w:rsidRPr="003E0EF5" w:rsidRDefault="00010F11" w:rsidP="00010F11">
            <w:pPr>
              <w:tabs>
                <w:tab w:val="left" w:pos="540"/>
              </w:tabs>
              <w:spacing w:before="120" w:after="120" w:line="240" w:lineRule="auto"/>
              <w:ind w:left="57" w:right="57"/>
              <w:jc w:val="center"/>
              <w:rPr>
                <w:rFonts w:ascii="Times New Roman" w:eastAsia="Times New Roman" w:hAnsi="Times New Roman"/>
                <w:sz w:val="24"/>
                <w:szCs w:val="24"/>
                <w:lang w:val="nl-NL"/>
              </w:rPr>
            </w:pPr>
            <w:r w:rsidRPr="00010F11">
              <w:rPr>
                <w:rFonts w:ascii="Times New Roman" w:eastAsia="Times New Roman" w:hAnsi="Times New Roman"/>
                <w:sz w:val="24"/>
                <w:szCs w:val="24"/>
                <w:lang w:val="nl-NL"/>
              </w:rPr>
              <w:t xml:space="preserve"> 16</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605</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 xml:space="preserve">09   </w:t>
            </w:r>
          </w:p>
        </w:tc>
      </w:tr>
      <w:tr w:rsidR="00010F11" w:rsidRPr="00A90AB7" w14:paraId="3A3FE5B3" w14:textId="77777777" w:rsidTr="00FE2BC9">
        <w:tc>
          <w:tcPr>
            <w:tcW w:w="2066" w:type="pct"/>
            <w:shd w:val="clear" w:color="auto" w:fill="auto"/>
            <w:vAlign w:val="center"/>
          </w:tcPr>
          <w:p w14:paraId="67851E1D" w14:textId="18442C06" w:rsidR="00010F11" w:rsidRPr="00A90AB7" w:rsidRDefault="00010F11" w:rsidP="00010F1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5.</w:t>
            </w:r>
            <w:r>
              <w:t xml:space="preserve"> </w:t>
            </w:r>
            <w:r w:rsidRPr="00E11368">
              <w:rPr>
                <w:rFonts w:ascii="Times New Roman" w:eastAsia="Times New Roman" w:hAnsi="Times New Roman"/>
                <w:sz w:val="24"/>
                <w:szCs w:val="24"/>
                <w:lang w:val="nl-NL"/>
              </w:rPr>
              <w:t>NAV thấp nhất của 1 đơn vị CCQ trong kỳ báo cáo (VND)</w:t>
            </w:r>
          </w:p>
        </w:tc>
        <w:tc>
          <w:tcPr>
            <w:tcW w:w="963" w:type="pct"/>
            <w:shd w:val="clear" w:color="auto" w:fill="auto"/>
          </w:tcPr>
          <w:p w14:paraId="78E13020" w14:textId="5088A1D0" w:rsidR="00010F11" w:rsidRPr="003E0EF5" w:rsidRDefault="00010F11" w:rsidP="00010F11">
            <w:pPr>
              <w:tabs>
                <w:tab w:val="left" w:pos="540"/>
              </w:tabs>
              <w:spacing w:before="120" w:after="120" w:line="240" w:lineRule="auto"/>
              <w:ind w:left="57" w:right="57"/>
              <w:jc w:val="center"/>
              <w:rPr>
                <w:rFonts w:ascii="Times New Roman" w:eastAsia="Times New Roman" w:hAnsi="Times New Roman"/>
                <w:sz w:val="24"/>
                <w:szCs w:val="24"/>
                <w:lang w:val="nl-NL"/>
              </w:rPr>
            </w:pPr>
            <w:r w:rsidRPr="00010F11">
              <w:rPr>
                <w:rFonts w:ascii="Times New Roman" w:eastAsia="Times New Roman" w:hAnsi="Times New Roman"/>
                <w:sz w:val="24"/>
                <w:szCs w:val="24"/>
                <w:lang w:val="nl-NL"/>
              </w:rPr>
              <w:t xml:space="preserve"> 12</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710</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 xml:space="preserve">10   </w:t>
            </w:r>
          </w:p>
        </w:tc>
        <w:tc>
          <w:tcPr>
            <w:tcW w:w="963" w:type="pct"/>
            <w:shd w:val="clear" w:color="auto" w:fill="auto"/>
          </w:tcPr>
          <w:p w14:paraId="7200238C" w14:textId="5CF5D65B" w:rsidR="00010F11" w:rsidRPr="003E0EF5" w:rsidRDefault="00010F11" w:rsidP="00010F11">
            <w:pPr>
              <w:tabs>
                <w:tab w:val="left" w:pos="540"/>
              </w:tabs>
              <w:spacing w:before="120" w:after="120" w:line="240" w:lineRule="auto"/>
              <w:ind w:left="57" w:right="57"/>
              <w:jc w:val="center"/>
              <w:rPr>
                <w:rFonts w:ascii="Times New Roman" w:eastAsia="Times New Roman" w:hAnsi="Times New Roman"/>
                <w:sz w:val="24"/>
                <w:szCs w:val="24"/>
                <w:lang w:val="nl-NL"/>
              </w:rPr>
            </w:pPr>
            <w:r w:rsidRPr="00010F11">
              <w:rPr>
                <w:rFonts w:ascii="Times New Roman" w:eastAsia="Times New Roman" w:hAnsi="Times New Roman"/>
                <w:sz w:val="24"/>
                <w:szCs w:val="24"/>
                <w:lang w:val="nl-NL"/>
              </w:rPr>
              <w:t xml:space="preserve"> 11</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501</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 xml:space="preserve">69   </w:t>
            </w:r>
          </w:p>
        </w:tc>
        <w:tc>
          <w:tcPr>
            <w:tcW w:w="1007" w:type="pct"/>
            <w:shd w:val="clear" w:color="auto" w:fill="auto"/>
          </w:tcPr>
          <w:p w14:paraId="0A60AFAB" w14:textId="6E050A17" w:rsidR="00010F11" w:rsidRPr="003E0EF5" w:rsidRDefault="00010F11" w:rsidP="00010F11">
            <w:pPr>
              <w:tabs>
                <w:tab w:val="left" w:pos="540"/>
              </w:tabs>
              <w:spacing w:before="120" w:after="120" w:line="240" w:lineRule="auto"/>
              <w:ind w:left="57" w:right="57"/>
              <w:jc w:val="center"/>
              <w:rPr>
                <w:rFonts w:ascii="Times New Roman" w:eastAsia="Times New Roman" w:hAnsi="Times New Roman"/>
                <w:sz w:val="24"/>
                <w:szCs w:val="24"/>
                <w:lang w:val="nl-NL"/>
              </w:rPr>
            </w:pPr>
            <w:r w:rsidRPr="00010F11">
              <w:rPr>
                <w:rFonts w:ascii="Times New Roman" w:eastAsia="Times New Roman" w:hAnsi="Times New Roman"/>
                <w:sz w:val="24"/>
                <w:szCs w:val="24"/>
                <w:lang w:val="nl-NL"/>
              </w:rPr>
              <w:t xml:space="preserve"> 15</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520</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 xml:space="preserve">93   </w:t>
            </w:r>
          </w:p>
        </w:tc>
      </w:tr>
      <w:tr w:rsidR="00FB29CA" w:rsidRPr="00A90AB7" w14:paraId="680FA9D8" w14:textId="77777777" w:rsidTr="00FE2BC9">
        <w:tc>
          <w:tcPr>
            <w:tcW w:w="2066" w:type="pct"/>
            <w:shd w:val="clear" w:color="auto" w:fill="auto"/>
            <w:vAlign w:val="center"/>
          </w:tcPr>
          <w:p w14:paraId="405BCECE" w14:textId="2E416C7E"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6.</w:t>
            </w:r>
            <w:r>
              <w:t xml:space="preserve"> </w:t>
            </w:r>
            <w:r w:rsidRPr="00E11368">
              <w:rPr>
                <w:rFonts w:ascii="Times New Roman" w:eastAsia="Times New Roman" w:hAnsi="Times New Roman"/>
                <w:sz w:val="24"/>
                <w:szCs w:val="24"/>
                <w:lang w:val="nl-NL"/>
              </w:rPr>
              <w:t xml:space="preserve">Giá cuối ngày của 1 đơn vị CCQ tại ngày </w:t>
            </w:r>
            <w:r w:rsidRPr="00E11368">
              <w:rPr>
                <w:rFonts w:ascii="Times New Roman" w:eastAsia="Times New Roman" w:hAnsi="Times New Roman"/>
                <w:sz w:val="24"/>
                <w:szCs w:val="24"/>
                <w:lang w:val="nl-NL"/>
              </w:rPr>
              <w:tab/>
              <w:t>báo cáo (VND)</w:t>
            </w:r>
          </w:p>
        </w:tc>
        <w:tc>
          <w:tcPr>
            <w:tcW w:w="963" w:type="pct"/>
            <w:shd w:val="clear" w:color="auto" w:fill="auto"/>
            <w:vAlign w:val="center"/>
          </w:tcPr>
          <w:p w14:paraId="1D199951" w14:textId="5545B81E" w:rsidR="00FB29CA" w:rsidRPr="00631DA1" w:rsidRDefault="00FB29CA" w:rsidP="00FB29CA">
            <w:pPr>
              <w:tabs>
                <w:tab w:val="left" w:pos="540"/>
              </w:tabs>
              <w:spacing w:before="120" w:after="120" w:line="240" w:lineRule="auto"/>
              <w:ind w:left="57" w:right="57"/>
              <w:jc w:val="center"/>
              <w:rPr>
                <w:rFonts w:ascii="Times New Roman" w:hAnsi="Times New Roman"/>
                <w:sz w:val="24"/>
                <w:szCs w:val="24"/>
              </w:rPr>
            </w:pPr>
            <w:proofErr w:type="spellStart"/>
            <w:r w:rsidRPr="00FB29CA">
              <w:rPr>
                <w:rFonts w:ascii="Times New Roman" w:hAnsi="Times New Roman"/>
                <w:sz w:val="24"/>
                <w:szCs w:val="24"/>
              </w:rPr>
              <w:t>Không</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áp</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dụng</w:t>
            </w:r>
            <w:proofErr w:type="spellEnd"/>
          </w:p>
        </w:tc>
        <w:tc>
          <w:tcPr>
            <w:tcW w:w="963" w:type="pct"/>
            <w:shd w:val="clear" w:color="auto" w:fill="auto"/>
            <w:vAlign w:val="center"/>
          </w:tcPr>
          <w:p w14:paraId="7A1B8227" w14:textId="60308D62" w:rsidR="00FB29CA" w:rsidRPr="00631DA1" w:rsidRDefault="00FB29CA" w:rsidP="00FB29CA">
            <w:pPr>
              <w:tabs>
                <w:tab w:val="left" w:pos="540"/>
              </w:tabs>
              <w:spacing w:before="120" w:after="120" w:line="240" w:lineRule="auto"/>
              <w:ind w:left="57" w:right="57"/>
              <w:jc w:val="center"/>
              <w:rPr>
                <w:rFonts w:ascii="Times New Roman" w:hAnsi="Times New Roman"/>
                <w:sz w:val="24"/>
                <w:szCs w:val="24"/>
              </w:rPr>
            </w:pPr>
            <w:proofErr w:type="spellStart"/>
            <w:r w:rsidRPr="00FB29CA">
              <w:rPr>
                <w:rFonts w:ascii="Times New Roman" w:hAnsi="Times New Roman"/>
                <w:sz w:val="24"/>
                <w:szCs w:val="24"/>
              </w:rPr>
              <w:t>Không</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áp</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dụng</w:t>
            </w:r>
            <w:proofErr w:type="spellEnd"/>
          </w:p>
        </w:tc>
        <w:tc>
          <w:tcPr>
            <w:tcW w:w="1007" w:type="pct"/>
            <w:shd w:val="clear" w:color="auto" w:fill="auto"/>
            <w:vAlign w:val="center"/>
          </w:tcPr>
          <w:p w14:paraId="0C5D082F" w14:textId="761CC900"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2492316D" w14:textId="77777777" w:rsidTr="00FE2BC9">
        <w:tc>
          <w:tcPr>
            <w:tcW w:w="2066" w:type="pct"/>
            <w:shd w:val="clear" w:color="auto" w:fill="auto"/>
            <w:vAlign w:val="center"/>
          </w:tcPr>
          <w:p w14:paraId="3BF3BB34" w14:textId="5A5C782D"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7.</w:t>
            </w:r>
            <w:r>
              <w:t xml:space="preserve"> </w:t>
            </w:r>
            <w:r w:rsidRPr="00E11368">
              <w:rPr>
                <w:rFonts w:ascii="Times New Roman" w:eastAsia="Times New Roman" w:hAnsi="Times New Roman"/>
                <w:sz w:val="24"/>
                <w:szCs w:val="24"/>
                <w:lang w:val="nl-NL"/>
              </w:rPr>
              <w:t>Giá cuối ngày cao nhất của 1 đơn vị CCQ trong kỳ báo cáo (VND)</w:t>
            </w:r>
          </w:p>
        </w:tc>
        <w:tc>
          <w:tcPr>
            <w:tcW w:w="963" w:type="pct"/>
            <w:shd w:val="clear" w:color="auto" w:fill="auto"/>
            <w:vAlign w:val="center"/>
          </w:tcPr>
          <w:p w14:paraId="10619DC6" w14:textId="14A8906C"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0BEE6D47" w14:textId="7C1B597D"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54E3070C" w14:textId="75D83AC3"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51B49DCF" w14:textId="77777777" w:rsidTr="00FE2BC9">
        <w:tc>
          <w:tcPr>
            <w:tcW w:w="2066" w:type="pct"/>
            <w:shd w:val="clear" w:color="auto" w:fill="auto"/>
            <w:vAlign w:val="center"/>
          </w:tcPr>
          <w:p w14:paraId="177EE2D0" w14:textId="1A92607D"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8.</w:t>
            </w:r>
            <w:r>
              <w:t xml:space="preserve"> </w:t>
            </w:r>
            <w:r w:rsidRPr="00E11368">
              <w:rPr>
                <w:rFonts w:ascii="Times New Roman" w:eastAsia="Times New Roman" w:hAnsi="Times New Roman"/>
                <w:sz w:val="24"/>
                <w:szCs w:val="24"/>
                <w:lang w:val="nl-NL"/>
              </w:rPr>
              <w:t>Giá cuối ngày thấp nhất của 1 đơn vị CCQ trong kỳ báo cáo (VND)</w:t>
            </w:r>
          </w:p>
        </w:tc>
        <w:tc>
          <w:tcPr>
            <w:tcW w:w="963" w:type="pct"/>
            <w:shd w:val="clear" w:color="auto" w:fill="auto"/>
            <w:vAlign w:val="center"/>
          </w:tcPr>
          <w:p w14:paraId="79D01296" w14:textId="648C6936"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3E65FA34" w14:textId="040AC6CA"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693C8484" w14:textId="729B6DBB"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010F11" w:rsidRPr="00A90AB7" w14:paraId="3D43ACEE" w14:textId="77777777" w:rsidTr="00FE2BC9">
        <w:tc>
          <w:tcPr>
            <w:tcW w:w="2066" w:type="pct"/>
            <w:shd w:val="clear" w:color="auto" w:fill="auto"/>
            <w:vAlign w:val="center"/>
          </w:tcPr>
          <w:p w14:paraId="1916F095" w14:textId="30B7C9BD" w:rsidR="00010F11" w:rsidRPr="00A90AB7" w:rsidRDefault="00010F11" w:rsidP="00010F1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w:t>
            </w:r>
            <w:r>
              <w:t xml:space="preserve"> </w:t>
            </w:r>
            <w:r w:rsidRPr="0099238D">
              <w:rPr>
                <w:rFonts w:ascii="Times New Roman" w:eastAsia="Times New Roman" w:hAnsi="Times New Roman"/>
                <w:sz w:val="24"/>
                <w:szCs w:val="24"/>
                <w:lang w:val="nl-NL"/>
              </w:rPr>
              <w:t>Tổng tăng trưởng (%)/1 đơn vị CCQ (%)</w:t>
            </w:r>
          </w:p>
        </w:tc>
        <w:tc>
          <w:tcPr>
            <w:tcW w:w="963" w:type="pct"/>
            <w:shd w:val="clear" w:color="auto" w:fill="auto"/>
          </w:tcPr>
          <w:p w14:paraId="20184A90" w14:textId="702DD167" w:rsidR="00010F11" w:rsidRPr="00B55789" w:rsidRDefault="00010F11" w:rsidP="00010F11">
            <w:pPr>
              <w:tabs>
                <w:tab w:val="left" w:pos="540"/>
              </w:tabs>
              <w:spacing w:before="120" w:after="120" w:line="240" w:lineRule="auto"/>
              <w:ind w:left="57" w:right="57"/>
              <w:jc w:val="center"/>
              <w:rPr>
                <w:rFonts w:ascii="Times New Roman" w:eastAsia="Times New Roman" w:hAnsi="Times New Roman"/>
                <w:sz w:val="24"/>
                <w:szCs w:val="24"/>
                <w:lang w:val="nl-NL"/>
              </w:rPr>
            </w:pPr>
            <w:r w:rsidRPr="00010F11">
              <w:rPr>
                <w:rFonts w:ascii="Times New Roman" w:eastAsia="Times New Roman" w:hAnsi="Times New Roman"/>
                <w:sz w:val="24"/>
                <w:szCs w:val="24"/>
                <w:lang w:val="nl-NL"/>
              </w:rPr>
              <w:t>-1</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18</w:t>
            </w:r>
          </w:p>
        </w:tc>
        <w:tc>
          <w:tcPr>
            <w:tcW w:w="963" w:type="pct"/>
            <w:shd w:val="clear" w:color="auto" w:fill="auto"/>
          </w:tcPr>
          <w:p w14:paraId="5EF14642" w14:textId="00AC8ECB" w:rsidR="00010F11" w:rsidRPr="00B55789" w:rsidRDefault="00010F11" w:rsidP="00010F11">
            <w:pPr>
              <w:tabs>
                <w:tab w:val="left" w:pos="540"/>
              </w:tabs>
              <w:spacing w:before="120" w:after="120" w:line="240" w:lineRule="auto"/>
              <w:ind w:left="57" w:right="57"/>
              <w:jc w:val="center"/>
              <w:rPr>
                <w:rFonts w:ascii="Times New Roman" w:eastAsia="Times New Roman" w:hAnsi="Times New Roman"/>
                <w:sz w:val="24"/>
                <w:szCs w:val="24"/>
                <w:lang w:val="nl-NL"/>
              </w:rPr>
            </w:pPr>
            <w:r w:rsidRPr="00010F11">
              <w:rPr>
                <w:rFonts w:ascii="Times New Roman" w:eastAsia="Times New Roman" w:hAnsi="Times New Roman"/>
                <w:sz w:val="24"/>
                <w:szCs w:val="24"/>
                <w:lang w:val="nl-NL"/>
              </w:rPr>
              <w:t>-6</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60</w:t>
            </w:r>
          </w:p>
        </w:tc>
        <w:tc>
          <w:tcPr>
            <w:tcW w:w="1007" w:type="pct"/>
            <w:shd w:val="clear" w:color="auto" w:fill="auto"/>
          </w:tcPr>
          <w:p w14:paraId="69214AE9" w14:textId="40D024AE" w:rsidR="00010F11" w:rsidRPr="00B55789" w:rsidRDefault="00010F11" w:rsidP="00010F11">
            <w:pPr>
              <w:tabs>
                <w:tab w:val="left" w:pos="540"/>
              </w:tabs>
              <w:spacing w:before="120" w:after="120" w:line="240" w:lineRule="auto"/>
              <w:ind w:left="57" w:right="57"/>
              <w:jc w:val="center"/>
              <w:rPr>
                <w:rFonts w:ascii="Times New Roman" w:eastAsia="Times New Roman" w:hAnsi="Times New Roman"/>
                <w:sz w:val="24"/>
                <w:szCs w:val="24"/>
                <w:lang w:val="nl-NL"/>
              </w:rPr>
            </w:pPr>
            <w:r w:rsidRPr="00010F11">
              <w:rPr>
                <w:rFonts w:ascii="Times New Roman" w:eastAsia="Times New Roman" w:hAnsi="Times New Roman"/>
                <w:sz w:val="24"/>
                <w:szCs w:val="24"/>
                <w:lang w:val="nl-NL"/>
              </w:rPr>
              <w:t>5</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90</w:t>
            </w:r>
          </w:p>
        </w:tc>
      </w:tr>
      <w:tr w:rsidR="001046F6" w:rsidRPr="00A90AB7" w14:paraId="39E29FC2" w14:textId="77777777" w:rsidTr="00FE2BC9">
        <w:tc>
          <w:tcPr>
            <w:tcW w:w="2066" w:type="pct"/>
            <w:shd w:val="clear" w:color="auto" w:fill="auto"/>
            <w:vAlign w:val="center"/>
          </w:tcPr>
          <w:p w14:paraId="684DE998" w14:textId="78F073F7"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9.1.</w:t>
            </w:r>
            <w:r>
              <w:t xml:space="preserve"> </w:t>
            </w:r>
            <w:r w:rsidRPr="0099238D">
              <w:rPr>
                <w:rFonts w:ascii="Times New Roman" w:eastAsia="Times New Roman" w:hAnsi="Times New Roman"/>
                <w:sz w:val="24"/>
                <w:szCs w:val="24"/>
                <w:lang w:val="nl-NL"/>
              </w:rPr>
              <w:t>Tăng trưởng vốn (%)/1 đơn vị CCQ (Thay đổi do biến động giá)</w:t>
            </w:r>
          </w:p>
        </w:tc>
        <w:tc>
          <w:tcPr>
            <w:tcW w:w="963" w:type="pct"/>
            <w:shd w:val="clear" w:color="auto" w:fill="auto"/>
            <w:vAlign w:val="center"/>
          </w:tcPr>
          <w:p w14:paraId="100762D5" w14:textId="3C6526FE"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06674D77" w14:textId="7FBEEB71"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441377AA" w14:textId="7C4E9FED"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1046F6" w:rsidRPr="00A90AB7" w14:paraId="5D4A2E39" w14:textId="77777777" w:rsidTr="00FE2BC9">
        <w:tc>
          <w:tcPr>
            <w:tcW w:w="2066" w:type="pct"/>
            <w:shd w:val="clear" w:color="auto" w:fill="auto"/>
            <w:vAlign w:val="center"/>
          </w:tcPr>
          <w:p w14:paraId="461797A3" w14:textId="30BB3659"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9.2.</w:t>
            </w:r>
            <w:r>
              <w:t xml:space="preserve"> </w:t>
            </w:r>
            <w:r w:rsidRPr="0099238D">
              <w:rPr>
                <w:rFonts w:ascii="Times New Roman" w:eastAsia="Times New Roman" w:hAnsi="Times New Roman"/>
                <w:sz w:val="24"/>
                <w:szCs w:val="24"/>
                <w:lang w:val="nl-NL"/>
              </w:rPr>
              <w:t>Tăng trưởng thu nhập (%)/1 đơn vị CCQ (Tính trên thu nhập đã thực hiện)</w:t>
            </w:r>
          </w:p>
        </w:tc>
        <w:tc>
          <w:tcPr>
            <w:tcW w:w="963" w:type="pct"/>
            <w:shd w:val="clear" w:color="auto" w:fill="auto"/>
            <w:vAlign w:val="center"/>
          </w:tcPr>
          <w:p w14:paraId="122130F8" w14:textId="73771D46"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1E604B06" w14:textId="29F3D491"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6F2AF01B" w14:textId="374D80C2"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4CC4F0AA" w14:textId="77777777" w:rsidTr="00FE2BC9">
        <w:tc>
          <w:tcPr>
            <w:tcW w:w="2066" w:type="pct"/>
            <w:shd w:val="clear" w:color="auto" w:fill="auto"/>
            <w:vAlign w:val="center"/>
          </w:tcPr>
          <w:p w14:paraId="01DC28A3" w14:textId="16DACA77"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10.</w:t>
            </w:r>
            <w:r>
              <w:t xml:space="preserve"> </w:t>
            </w:r>
            <w:r w:rsidRPr="0099238D">
              <w:rPr>
                <w:rFonts w:ascii="Times New Roman" w:eastAsia="Times New Roman" w:hAnsi="Times New Roman"/>
                <w:sz w:val="24"/>
                <w:szCs w:val="24"/>
                <w:lang w:val="nl-NL"/>
              </w:rPr>
              <w:t>Phân phối gộp trên 1 đơn vị CCQ (VND)</w:t>
            </w:r>
          </w:p>
        </w:tc>
        <w:tc>
          <w:tcPr>
            <w:tcW w:w="963" w:type="pct"/>
            <w:shd w:val="clear" w:color="auto" w:fill="auto"/>
            <w:vAlign w:val="center"/>
          </w:tcPr>
          <w:p w14:paraId="760FA637" w14:textId="2779A754"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5168843E" w14:textId="2140B8EF"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31A61D75" w14:textId="0848FB23"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6EAB03D4" w14:textId="77777777" w:rsidTr="00FE2BC9">
        <w:tc>
          <w:tcPr>
            <w:tcW w:w="2066" w:type="pct"/>
            <w:shd w:val="clear" w:color="auto" w:fill="auto"/>
            <w:vAlign w:val="center"/>
          </w:tcPr>
          <w:p w14:paraId="3A517776" w14:textId="2F7BEF58"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11.</w:t>
            </w:r>
            <w:r>
              <w:t xml:space="preserve"> </w:t>
            </w:r>
            <w:r w:rsidRPr="0099238D">
              <w:rPr>
                <w:rFonts w:ascii="Times New Roman" w:eastAsia="Times New Roman" w:hAnsi="Times New Roman"/>
                <w:sz w:val="24"/>
                <w:szCs w:val="24"/>
                <w:lang w:val="nl-NL"/>
              </w:rPr>
              <w:t>Phân phối ròng trên 1 đơn vị CCQ (VND)</w:t>
            </w:r>
          </w:p>
        </w:tc>
        <w:tc>
          <w:tcPr>
            <w:tcW w:w="963" w:type="pct"/>
            <w:shd w:val="clear" w:color="auto" w:fill="auto"/>
            <w:vAlign w:val="center"/>
          </w:tcPr>
          <w:p w14:paraId="6260AB34" w14:textId="0E4605E9"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3194D2B7" w14:textId="48F8E669"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356494BE" w14:textId="0BC5E388"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484A1706" w14:textId="77777777" w:rsidTr="00FE2BC9">
        <w:tc>
          <w:tcPr>
            <w:tcW w:w="2066" w:type="pct"/>
            <w:shd w:val="clear" w:color="auto" w:fill="auto"/>
            <w:vAlign w:val="center"/>
          </w:tcPr>
          <w:p w14:paraId="31BECECF" w14:textId="69D2A1B4"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lastRenderedPageBreak/>
              <w:t xml:space="preserve">12.Ngày chốt quyền </w:t>
            </w:r>
          </w:p>
        </w:tc>
        <w:tc>
          <w:tcPr>
            <w:tcW w:w="963" w:type="pct"/>
            <w:shd w:val="clear" w:color="auto" w:fill="auto"/>
            <w:vAlign w:val="center"/>
          </w:tcPr>
          <w:p w14:paraId="0010992B" w14:textId="6AA5913C"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17D0C26B" w14:textId="6CBDC910"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3EBF3467" w14:textId="04FF3250"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010F11" w:rsidRPr="00A90AB7" w14:paraId="59EE0EC7" w14:textId="77777777" w:rsidTr="00394752">
        <w:tc>
          <w:tcPr>
            <w:tcW w:w="2066" w:type="pct"/>
            <w:shd w:val="clear" w:color="auto" w:fill="auto"/>
            <w:vAlign w:val="center"/>
          </w:tcPr>
          <w:p w14:paraId="5D620D01" w14:textId="1DFC1578" w:rsidR="00010F11" w:rsidRPr="00A90AB7" w:rsidRDefault="00010F11" w:rsidP="00010F1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13.Tỷ lệ chi phí hoạt động của quỹ (%)</w:t>
            </w:r>
          </w:p>
        </w:tc>
        <w:tc>
          <w:tcPr>
            <w:tcW w:w="963" w:type="pct"/>
            <w:shd w:val="clear" w:color="auto" w:fill="auto"/>
          </w:tcPr>
          <w:p w14:paraId="1599D8AD" w14:textId="2813B066" w:rsidR="00010F11" w:rsidRPr="001321D1" w:rsidRDefault="00010F11" w:rsidP="00010F11">
            <w:pPr>
              <w:tabs>
                <w:tab w:val="left" w:pos="540"/>
              </w:tabs>
              <w:spacing w:before="120" w:after="120" w:line="240" w:lineRule="auto"/>
              <w:ind w:left="57" w:right="57"/>
              <w:jc w:val="center"/>
              <w:rPr>
                <w:rFonts w:ascii="Times New Roman" w:eastAsia="Times New Roman" w:hAnsi="Times New Roman"/>
                <w:sz w:val="24"/>
                <w:szCs w:val="24"/>
                <w:lang w:val="nl-NL"/>
              </w:rPr>
            </w:pPr>
            <w:r w:rsidRPr="00010F11">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92</w:t>
            </w:r>
          </w:p>
        </w:tc>
        <w:tc>
          <w:tcPr>
            <w:tcW w:w="963" w:type="pct"/>
            <w:shd w:val="clear" w:color="auto" w:fill="auto"/>
          </w:tcPr>
          <w:p w14:paraId="4A1A1B3F" w14:textId="6EAE1155" w:rsidR="00010F11" w:rsidRPr="00B55789" w:rsidRDefault="00010F11" w:rsidP="00010F11">
            <w:pPr>
              <w:tabs>
                <w:tab w:val="left" w:pos="540"/>
              </w:tabs>
              <w:spacing w:before="120" w:after="120" w:line="240" w:lineRule="auto"/>
              <w:ind w:left="57" w:right="57"/>
              <w:jc w:val="center"/>
              <w:rPr>
                <w:rFonts w:ascii="Times New Roman" w:eastAsia="Times New Roman" w:hAnsi="Times New Roman"/>
                <w:sz w:val="24"/>
                <w:szCs w:val="24"/>
                <w:lang w:val="nl-NL"/>
              </w:rPr>
            </w:pPr>
            <w:r w:rsidRPr="00010F11">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77</w:t>
            </w:r>
          </w:p>
        </w:tc>
        <w:tc>
          <w:tcPr>
            <w:tcW w:w="1007" w:type="pct"/>
            <w:shd w:val="clear" w:color="auto" w:fill="auto"/>
          </w:tcPr>
          <w:p w14:paraId="669414C7" w14:textId="598E28F7" w:rsidR="00010F11" w:rsidRPr="00B55789" w:rsidRDefault="00010F11" w:rsidP="00010F11">
            <w:pPr>
              <w:tabs>
                <w:tab w:val="left" w:pos="540"/>
              </w:tabs>
              <w:spacing w:before="120" w:after="120" w:line="240" w:lineRule="auto"/>
              <w:ind w:left="57" w:right="57"/>
              <w:jc w:val="center"/>
              <w:rPr>
                <w:rFonts w:ascii="Times New Roman" w:eastAsia="Times New Roman" w:hAnsi="Times New Roman"/>
                <w:sz w:val="24"/>
                <w:szCs w:val="24"/>
                <w:lang w:val="nl-NL"/>
              </w:rPr>
            </w:pPr>
            <w:r w:rsidRPr="00010F11">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15</w:t>
            </w:r>
          </w:p>
        </w:tc>
      </w:tr>
      <w:tr w:rsidR="00010F11" w:rsidRPr="00A90AB7" w14:paraId="5F792137" w14:textId="77777777" w:rsidTr="00394752">
        <w:tc>
          <w:tcPr>
            <w:tcW w:w="2066" w:type="pct"/>
            <w:shd w:val="clear" w:color="auto" w:fill="auto"/>
            <w:vAlign w:val="center"/>
          </w:tcPr>
          <w:p w14:paraId="1CB9C522" w14:textId="593FBECC" w:rsidR="00010F11" w:rsidRPr="00A90AB7" w:rsidRDefault="00010F11" w:rsidP="00010F1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14.Tốc độ vòng quay danh mục (</w:t>
            </w:r>
            <w:r>
              <w:rPr>
                <w:rFonts w:ascii="Times New Roman" w:eastAsia="Times New Roman" w:hAnsi="Times New Roman"/>
                <w:sz w:val="24"/>
                <w:szCs w:val="24"/>
                <w:lang w:val="nl-NL"/>
              </w:rPr>
              <w:t>%</w:t>
            </w:r>
            <w:r w:rsidRPr="00A90AB7">
              <w:rPr>
                <w:rFonts w:ascii="Times New Roman" w:eastAsia="Times New Roman" w:hAnsi="Times New Roman"/>
                <w:sz w:val="24"/>
                <w:szCs w:val="24"/>
                <w:lang w:val="nl-NL"/>
              </w:rPr>
              <w:t>)</w:t>
            </w:r>
          </w:p>
        </w:tc>
        <w:tc>
          <w:tcPr>
            <w:tcW w:w="963" w:type="pct"/>
            <w:shd w:val="clear" w:color="auto" w:fill="auto"/>
          </w:tcPr>
          <w:p w14:paraId="1DCC5EDA" w14:textId="033B5549" w:rsidR="00010F11" w:rsidRPr="001321D1" w:rsidRDefault="00010F11" w:rsidP="00010F11">
            <w:pPr>
              <w:tabs>
                <w:tab w:val="left" w:pos="540"/>
              </w:tabs>
              <w:spacing w:before="120" w:after="120" w:line="240" w:lineRule="auto"/>
              <w:ind w:left="57" w:right="57"/>
              <w:jc w:val="center"/>
              <w:rPr>
                <w:rFonts w:ascii="Times New Roman" w:eastAsia="Times New Roman" w:hAnsi="Times New Roman"/>
                <w:sz w:val="24"/>
                <w:szCs w:val="24"/>
                <w:lang w:val="nl-NL"/>
              </w:rPr>
            </w:pPr>
            <w:r w:rsidRPr="00010F11">
              <w:rPr>
                <w:rFonts w:ascii="Times New Roman" w:eastAsia="Times New Roman" w:hAnsi="Times New Roman"/>
                <w:sz w:val="24"/>
                <w:szCs w:val="24"/>
                <w:lang w:val="nl-NL"/>
              </w:rPr>
              <w:t>275</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43</w:t>
            </w:r>
          </w:p>
        </w:tc>
        <w:tc>
          <w:tcPr>
            <w:tcW w:w="963" w:type="pct"/>
            <w:shd w:val="clear" w:color="auto" w:fill="auto"/>
          </w:tcPr>
          <w:p w14:paraId="445F9F32" w14:textId="39C1C03F" w:rsidR="00010F11" w:rsidRPr="00B55789" w:rsidRDefault="00010F11" w:rsidP="00010F11">
            <w:pPr>
              <w:tabs>
                <w:tab w:val="left" w:pos="540"/>
              </w:tabs>
              <w:spacing w:before="120" w:after="120" w:line="240" w:lineRule="auto"/>
              <w:ind w:left="57" w:right="57"/>
              <w:jc w:val="center"/>
              <w:rPr>
                <w:rFonts w:ascii="Times New Roman" w:eastAsia="Times New Roman" w:hAnsi="Times New Roman"/>
                <w:sz w:val="24"/>
                <w:szCs w:val="24"/>
                <w:lang w:val="nl-NL"/>
              </w:rPr>
            </w:pPr>
            <w:r w:rsidRPr="00010F11">
              <w:rPr>
                <w:rFonts w:ascii="Times New Roman" w:eastAsia="Times New Roman" w:hAnsi="Times New Roman"/>
                <w:sz w:val="24"/>
                <w:szCs w:val="24"/>
                <w:lang w:val="nl-NL"/>
              </w:rPr>
              <w:t>176</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59</w:t>
            </w:r>
          </w:p>
        </w:tc>
        <w:tc>
          <w:tcPr>
            <w:tcW w:w="1007" w:type="pct"/>
            <w:shd w:val="clear" w:color="auto" w:fill="auto"/>
          </w:tcPr>
          <w:p w14:paraId="236B1E60" w14:textId="66B580E0" w:rsidR="00010F11" w:rsidRPr="00B55789" w:rsidRDefault="00010F11" w:rsidP="00010F11">
            <w:pPr>
              <w:tabs>
                <w:tab w:val="left" w:pos="540"/>
              </w:tabs>
              <w:spacing w:before="120" w:after="120" w:line="240" w:lineRule="auto"/>
              <w:ind w:left="57" w:right="57"/>
              <w:jc w:val="center"/>
              <w:rPr>
                <w:rFonts w:ascii="Times New Roman" w:eastAsia="Times New Roman" w:hAnsi="Times New Roman"/>
                <w:sz w:val="24"/>
                <w:szCs w:val="24"/>
                <w:lang w:val="nl-NL"/>
              </w:rPr>
            </w:pPr>
            <w:r w:rsidRPr="00010F11">
              <w:rPr>
                <w:rFonts w:ascii="Times New Roman" w:eastAsia="Times New Roman" w:hAnsi="Times New Roman"/>
                <w:sz w:val="24"/>
                <w:szCs w:val="24"/>
                <w:lang w:val="nl-NL"/>
              </w:rPr>
              <w:t>302</w:t>
            </w:r>
            <w:r>
              <w:rPr>
                <w:rFonts w:ascii="Times New Roman" w:eastAsia="Times New Roman" w:hAnsi="Times New Roman"/>
                <w:sz w:val="24"/>
                <w:szCs w:val="24"/>
                <w:lang w:val="nl-NL"/>
              </w:rPr>
              <w:t>,</w:t>
            </w:r>
            <w:r w:rsidRPr="00010F11">
              <w:rPr>
                <w:rFonts w:ascii="Times New Roman" w:eastAsia="Times New Roman" w:hAnsi="Times New Roman"/>
                <w:sz w:val="24"/>
                <w:szCs w:val="24"/>
                <w:lang w:val="nl-NL"/>
              </w:rPr>
              <w:t>51</w:t>
            </w:r>
          </w:p>
        </w:tc>
      </w:tr>
    </w:tbl>
    <w:p w14:paraId="169AA3BF" w14:textId="55109A9E" w:rsidR="00BE6F63" w:rsidRPr="001330FC" w:rsidRDefault="00A44447" w:rsidP="00505ACF">
      <w:pPr>
        <w:tabs>
          <w:tab w:val="left" w:pos="540"/>
        </w:tabs>
        <w:spacing w:before="120" w:after="0" w:line="360" w:lineRule="auto"/>
        <w:jc w:val="both"/>
        <w:rPr>
          <w:rFonts w:ascii="Times New Roman" w:hAnsi="Times New Roman"/>
          <w:sz w:val="24"/>
          <w:szCs w:val="24"/>
          <w:lang w:val="nl-NL"/>
        </w:rPr>
      </w:pPr>
      <w:r w:rsidRPr="001330FC">
        <w:rPr>
          <w:rFonts w:ascii="Times New Roman" w:hAnsi="Times New Roman"/>
          <w:b/>
          <w:sz w:val="24"/>
          <w:szCs w:val="24"/>
          <w:lang w:val="nl-NL"/>
        </w:rPr>
        <w:t>2.</w:t>
      </w:r>
      <w:r w:rsidR="00BE6F63" w:rsidRPr="001330FC">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1330FC" w14:paraId="2A501907" w14:textId="77777777" w:rsidTr="00631DA1">
        <w:tc>
          <w:tcPr>
            <w:tcW w:w="2115" w:type="pct"/>
            <w:shd w:val="clear" w:color="auto" w:fill="auto"/>
            <w:vAlign w:val="center"/>
          </w:tcPr>
          <w:p w14:paraId="45889D1E" w14:textId="77777777"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Giai đoạn</w:t>
            </w:r>
          </w:p>
        </w:tc>
        <w:tc>
          <w:tcPr>
            <w:tcW w:w="1444" w:type="pct"/>
            <w:shd w:val="clear" w:color="auto" w:fill="auto"/>
            <w:vAlign w:val="center"/>
          </w:tcPr>
          <w:p w14:paraId="250073B9" w14:textId="7F7C0FF5"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Tổng tăng trưởng của NAV/CCQ</w:t>
            </w:r>
            <w:r w:rsidR="008D0C99" w:rsidRPr="001330FC">
              <w:rPr>
                <w:rFonts w:ascii="Times New Roman" w:eastAsia="Times New Roman" w:hAnsi="Times New Roman"/>
                <w:b/>
                <w:sz w:val="24"/>
                <w:szCs w:val="24"/>
                <w:lang w:val="nl-NL"/>
              </w:rPr>
              <w:t xml:space="preserve"> (%)</w:t>
            </w:r>
          </w:p>
        </w:tc>
        <w:tc>
          <w:tcPr>
            <w:tcW w:w="1441" w:type="pct"/>
            <w:shd w:val="clear" w:color="auto" w:fill="auto"/>
            <w:vAlign w:val="center"/>
          </w:tcPr>
          <w:p w14:paraId="1D64424C" w14:textId="17AFF256"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Tăng trưởng NAV/CCQ hàng năm</w:t>
            </w:r>
            <w:r w:rsidR="008D0C99" w:rsidRPr="001330FC">
              <w:rPr>
                <w:rFonts w:ascii="Times New Roman" w:eastAsia="Times New Roman" w:hAnsi="Times New Roman"/>
                <w:b/>
                <w:sz w:val="24"/>
                <w:szCs w:val="24"/>
                <w:lang w:val="nl-NL"/>
              </w:rPr>
              <w:t xml:space="preserve"> (%)</w:t>
            </w:r>
          </w:p>
        </w:tc>
      </w:tr>
      <w:tr w:rsidR="00010F11" w:rsidRPr="001330FC" w14:paraId="5EEB48C6" w14:textId="77777777" w:rsidTr="00617039">
        <w:tc>
          <w:tcPr>
            <w:tcW w:w="2115" w:type="pct"/>
            <w:shd w:val="clear" w:color="auto" w:fill="auto"/>
            <w:vAlign w:val="center"/>
          </w:tcPr>
          <w:p w14:paraId="5DDCFCF4" w14:textId="77777777" w:rsidR="00010F11" w:rsidRPr="001330FC" w:rsidRDefault="00010F11" w:rsidP="00010F11">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- 1 năm</w:t>
            </w:r>
          </w:p>
        </w:tc>
        <w:tc>
          <w:tcPr>
            <w:tcW w:w="1444" w:type="pct"/>
            <w:shd w:val="clear" w:color="auto" w:fill="auto"/>
          </w:tcPr>
          <w:p w14:paraId="01E10D90" w14:textId="77A6D276" w:rsidR="00010F11" w:rsidRPr="003E0EF5" w:rsidRDefault="00010F11" w:rsidP="00010F11">
            <w:pPr>
              <w:tabs>
                <w:tab w:val="left" w:pos="540"/>
              </w:tabs>
              <w:spacing w:before="120" w:after="0" w:line="240" w:lineRule="auto"/>
              <w:jc w:val="center"/>
              <w:rPr>
                <w:rFonts w:ascii="Times New Roman" w:eastAsia="Times New Roman" w:hAnsi="Times New Roman"/>
                <w:sz w:val="24"/>
                <w:szCs w:val="24"/>
                <w:lang w:val="nl-NL"/>
              </w:rPr>
            </w:pPr>
            <w:r w:rsidRPr="006832E9">
              <w:rPr>
                <w:rFonts w:ascii="Times New Roman" w:eastAsia="Times New Roman" w:hAnsi="Times New Roman"/>
                <w:sz w:val="24"/>
                <w:szCs w:val="24"/>
                <w:lang w:val="nl-NL"/>
              </w:rPr>
              <w:t>12,94</w:t>
            </w:r>
          </w:p>
        </w:tc>
        <w:tc>
          <w:tcPr>
            <w:tcW w:w="1441" w:type="pct"/>
            <w:shd w:val="clear" w:color="auto" w:fill="auto"/>
          </w:tcPr>
          <w:p w14:paraId="31D1F686" w14:textId="4B9020BB" w:rsidR="00010F11" w:rsidRPr="003E0EF5" w:rsidRDefault="00010F11" w:rsidP="00010F11">
            <w:pPr>
              <w:tabs>
                <w:tab w:val="left" w:pos="540"/>
              </w:tabs>
              <w:spacing w:before="120" w:after="0" w:line="240" w:lineRule="auto"/>
              <w:jc w:val="center"/>
              <w:rPr>
                <w:rFonts w:ascii="Times New Roman" w:eastAsia="Times New Roman" w:hAnsi="Times New Roman"/>
                <w:sz w:val="24"/>
                <w:szCs w:val="24"/>
                <w:lang w:val="nl-NL"/>
              </w:rPr>
            </w:pPr>
            <w:r w:rsidRPr="006832E9">
              <w:rPr>
                <w:rFonts w:ascii="Times New Roman" w:eastAsia="Times New Roman" w:hAnsi="Times New Roman"/>
                <w:sz w:val="24"/>
                <w:szCs w:val="24"/>
                <w:lang w:val="nl-NL"/>
              </w:rPr>
              <w:t>12,94</w:t>
            </w:r>
          </w:p>
        </w:tc>
      </w:tr>
      <w:tr w:rsidR="00010F11" w:rsidRPr="001330FC" w14:paraId="3E717F15" w14:textId="77777777" w:rsidTr="00617039">
        <w:tc>
          <w:tcPr>
            <w:tcW w:w="2115" w:type="pct"/>
            <w:shd w:val="clear" w:color="auto" w:fill="auto"/>
            <w:vAlign w:val="center"/>
          </w:tcPr>
          <w:p w14:paraId="0353B976" w14:textId="77777777" w:rsidR="00010F11" w:rsidRPr="001330FC" w:rsidRDefault="00010F11" w:rsidP="00010F11">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- 3 năm</w:t>
            </w:r>
          </w:p>
        </w:tc>
        <w:tc>
          <w:tcPr>
            <w:tcW w:w="1444" w:type="pct"/>
            <w:shd w:val="clear" w:color="auto" w:fill="auto"/>
          </w:tcPr>
          <w:p w14:paraId="3DFE9C10" w14:textId="28A1212D" w:rsidR="00010F11" w:rsidRPr="003E0EF5" w:rsidRDefault="00010F11" w:rsidP="00010F11">
            <w:pPr>
              <w:tabs>
                <w:tab w:val="left" w:pos="540"/>
              </w:tabs>
              <w:spacing w:before="120" w:after="0" w:line="240" w:lineRule="auto"/>
              <w:jc w:val="center"/>
              <w:rPr>
                <w:rFonts w:ascii="Times New Roman" w:eastAsia="Times New Roman" w:hAnsi="Times New Roman"/>
                <w:sz w:val="24"/>
                <w:szCs w:val="24"/>
                <w:lang w:val="nl-NL"/>
              </w:rPr>
            </w:pPr>
            <w:r w:rsidRPr="006832E9">
              <w:rPr>
                <w:rFonts w:ascii="Times New Roman" w:eastAsia="Times New Roman" w:hAnsi="Times New Roman"/>
                <w:sz w:val="24"/>
                <w:szCs w:val="24"/>
                <w:lang w:val="nl-NL"/>
              </w:rPr>
              <w:t>10,01</w:t>
            </w:r>
          </w:p>
        </w:tc>
        <w:tc>
          <w:tcPr>
            <w:tcW w:w="1441" w:type="pct"/>
            <w:shd w:val="clear" w:color="auto" w:fill="auto"/>
          </w:tcPr>
          <w:p w14:paraId="6BB5F47E" w14:textId="53FB6B9C" w:rsidR="00010F11" w:rsidRPr="003E0EF5" w:rsidRDefault="00010F11" w:rsidP="00010F11">
            <w:pPr>
              <w:tabs>
                <w:tab w:val="left" w:pos="540"/>
              </w:tabs>
              <w:spacing w:before="120" w:after="0" w:line="240" w:lineRule="auto"/>
              <w:jc w:val="center"/>
              <w:rPr>
                <w:rFonts w:ascii="Times New Roman" w:eastAsia="Times New Roman" w:hAnsi="Times New Roman"/>
                <w:sz w:val="24"/>
                <w:szCs w:val="24"/>
                <w:lang w:val="nl-NL"/>
              </w:rPr>
            </w:pPr>
            <w:r w:rsidRPr="006832E9">
              <w:rPr>
                <w:rFonts w:ascii="Times New Roman" w:eastAsia="Times New Roman" w:hAnsi="Times New Roman"/>
                <w:sz w:val="24"/>
                <w:szCs w:val="24"/>
                <w:lang w:val="nl-NL"/>
              </w:rPr>
              <w:t>3,23</w:t>
            </w:r>
          </w:p>
        </w:tc>
      </w:tr>
      <w:tr w:rsidR="00010F11" w:rsidRPr="001330FC" w14:paraId="15A9300F" w14:textId="77777777" w:rsidTr="00617039">
        <w:tc>
          <w:tcPr>
            <w:tcW w:w="2115" w:type="pct"/>
            <w:shd w:val="clear" w:color="auto" w:fill="auto"/>
            <w:vAlign w:val="center"/>
          </w:tcPr>
          <w:p w14:paraId="23252578" w14:textId="77777777" w:rsidR="00010F11" w:rsidRPr="001330FC" w:rsidRDefault="00010F11" w:rsidP="00010F11">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Từ khi thành lập</w:t>
            </w:r>
          </w:p>
        </w:tc>
        <w:tc>
          <w:tcPr>
            <w:tcW w:w="1444" w:type="pct"/>
            <w:shd w:val="clear" w:color="auto" w:fill="auto"/>
          </w:tcPr>
          <w:p w14:paraId="631B2217" w14:textId="3C8D79C7" w:rsidR="00010F11" w:rsidRPr="003E0EF5" w:rsidRDefault="00010F11" w:rsidP="00010F11">
            <w:pPr>
              <w:tabs>
                <w:tab w:val="left" w:pos="540"/>
              </w:tabs>
              <w:spacing w:before="120" w:after="0" w:line="240" w:lineRule="auto"/>
              <w:jc w:val="center"/>
              <w:rPr>
                <w:rFonts w:ascii="Times New Roman" w:eastAsia="Times New Roman" w:hAnsi="Times New Roman"/>
                <w:sz w:val="24"/>
                <w:szCs w:val="24"/>
                <w:lang w:val="nl-NL"/>
              </w:rPr>
            </w:pPr>
            <w:r w:rsidRPr="006832E9">
              <w:rPr>
                <w:rFonts w:ascii="Times New Roman" w:eastAsia="Times New Roman" w:hAnsi="Times New Roman"/>
                <w:sz w:val="24"/>
                <w:szCs w:val="24"/>
                <w:lang w:val="nl-NL"/>
              </w:rPr>
              <w:t>38,91</w:t>
            </w:r>
          </w:p>
        </w:tc>
        <w:tc>
          <w:tcPr>
            <w:tcW w:w="1441" w:type="pct"/>
            <w:shd w:val="clear" w:color="auto" w:fill="auto"/>
          </w:tcPr>
          <w:p w14:paraId="22F7C0B9" w14:textId="1349E99D" w:rsidR="00010F11" w:rsidRPr="003E0EF5" w:rsidRDefault="00010F11" w:rsidP="00010F11">
            <w:pPr>
              <w:tabs>
                <w:tab w:val="left" w:pos="540"/>
              </w:tabs>
              <w:spacing w:before="120" w:after="0" w:line="240" w:lineRule="auto"/>
              <w:jc w:val="center"/>
              <w:rPr>
                <w:rFonts w:ascii="Times New Roman" w:eastAsia="Times New Roman" w:hAnsi="Times New Roman"/>
                <w:sz w:val="24"/>
                <w:szCs w:val="24"/>
                <w:lang w:val="nl-NL"/>
              </w:rPr>
            </w:pPr>
            <w:r w:rsidRPr="006832E9">
              <w:rPr>
                <w:rFonts w:ascii="Times New Roman" w:eastAsia="Times New Roman" w:hAnsi="Times New Roman"/>
                <w:sz w:val="24"/>
                <w:szCs w:val="24"/>
                <w:lang w:val="nl-NL"/>
              </w:rPr>
              <w:t>6,80</w:t>
            </w:r>
          </w:p>
        </w:tc>
      </w:tr>
    </w:tbl>
    <w:p w14:paraId="2FB699CF" w14:textId="27AD65E8" w:rsidR="00BE6F63" w:rsidRPr="001330FC" w:rsidRDefault="00A44447" w:rsidP="00315A8E">
      <w:pPr>
        <w:shd w:val="clear" w:color="auto" w:fill="FFFFFF"/>
        <w:tabs>
          <w:tab w:val="left" w:pos="540"/>
        </w:tabs>
        <w:spacing w:before="120" w:after="0" w:line="360" w:lineRule="auto"/>
        <w:jc w:val="both"/>
        <w:rPr>
          <w:rFonts w:ascii="Times New Roman" w:hAnsi="Times New Roman"/>
          <w:b/>
          <w:sz w:val="24"/>
          <w:szCs w:val="24"/>
          <w:lang w:val="nl-NL"/>
        </w:rPr>
      </w:pPr>
      <w:r w:rsidRPr="001330FC">
        <w:rPr>
          <w:rFonts w:ascii="Times New Roman" w:hAnsi="Times New Roman"/>
          <w:b/>
          <w:sz w:val="24"/>
          <w:szCs w:val="24"/>
          <w:lang w:val="nl-NL"/>
        </w:rPr>
        <w:t>2</w:t>
      </w:r>
      <w:r w:rsidR="0009649C">
        <w:rPr>
          <w:rFonts w:ascii="Times New Roman" w:hAnsi="Times New Roman"/>
          <w:b/>
          <w:sz w:val="24"/>
          <w:szCs w:val="24"/>
          <w:lang w:val="nl-NL"/>
        </w:rPr>
        <w:t>.</w:t>
      </w:r>
      <w:r w:rsidR="00BE6F63" w:rsidRPr="001330FC">
        <w:rPr>
          <w:rFonts w:ascii="Times New Roman" w:hAnsi="Times New Roman"/>
          <w:b/>
          <w:sz w:val="24"/>
          <w:szCs w:val="24"/>
          <w:lang w:val="nl-NL"/>
        </w:rPr>
        <w:t>4</w:t>
      </w:r>
      <w:r w:rsidR="0009649C">
        <w:rPr>
          <w:rFonts w:ascii="Times New Roman" w:hAnsi="Times New Roman"/>
          <w:b/>
          <w:sz w:val="24"/>
          <w:szCs w:val="24"/>
          <w:lang w:val="nl-NL"/>
        </w:rPr>
        <w:t>.</w:t>
      </w:r>
      <w:r w:rsidR="00BE6F63" w:rsidRPr="001330FC">
        <w:rPr>
          <w:rFonts w:ascii="Times New Roman" w:hAnsi="Times New Roman"/>
          <w:b/>
          <w:sz w:val="24"/>
          <w:szCs w:val="24"/>
          <w:lang w:val="nl-NL"/>
        </w:rPr>
        <w:t xml:space="preserve"> Tăng trưởng hàng năm:</w:t>
      </w:r>
    </w:p>
    <w:tbl>
      <w:tblPr>
        <w:tblW w:w="9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1801"/>
        <w:gridCol w:w="1889"/>
        <w:gridCol w:w="1710"/>
      </w:tblGrid>
      <w:tr w:rsidR="00E67E98" w:rsidRPr="001330FC" w14:paraId="6BD9BADA" w14:textId="77777777" w:rsidTr="008D0C99">
        <w:trPr>
          <w:trHeight w:val="774"/>
        </w:trPr>
        <w:tc>
          <w:tcPr>
            <w:tcW w:w="2114" w:type="pct"/>
            <w:shd w:val="clear" w:color="auto" w:fill="auto"/>
          </w:tcPr>
          <w:p w14:paraId="0B375C4A" w14:textId="77777777" w:rsidR="00E67E98" w:rsidRPr="001330FC" w:rsidRDefault="00E67E98" w:rsidP="00E67E98">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Thời kỳ</w:t>
            </w:r>
          </w:p>
        </w:tc>
        <w:tc>
          <w:tcPr>
            <w:tcW w:w="962" w:type="pct"/>
            <w:shd w:val="clear" w:color="auto" w:fill="auto"/>
            <w:vAlign w:val="center"/>
          </w:tcPr>
          <w:p w14:paraId="0B41A353" w14:textId="79E68A8F" w:rsidR="00E67E98" w:rsidRPr="004647B9" w:rsidRDefault="00D20DF1" w:rsidP="00E67E98">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C31909">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C31909">
              <w:rPr>
                <w:rFonts w:ascii="Times New Roman" w:eastAsia="Times New Roman" w:hAnsi="Times New Roman"/>
                <w:b/>
                <w:sz w:val="24"/>
                <w:szCs w:val="24"/>
                <w:lang w:val="nl-NL"/>
              </w:rPr>
              <w:t>12</w:t>
            </w:r>
            <w:r w:rsidR="00E67E98" w:rsidRPr="004647B9">
              <w:rPr>
                <w:rFonts w:ascii="Times New Roman" w:eastAsia="Times New Roman" w:hAnsi="Times New Roman"/>
                <w:b/>
                <w:sz w:val="24"/>
                <w:szCs w:val="24"/>
                <w:lang w:val="nl-NL"/>
              </w:rPr>
              <w:t>/202</w:t>
            </w:r>
            <w:r w:rsidR="00E67E98">
              <w:rPr>
                <w:rFonts w:ascii="Times New Roman" w:eastAsia="Times New Roman" w:hAnsi="Times New Roman"/>
                <w:b/>
                <w:sz w:val="24"/>
                <w:szCs w:val="24"/>
                <w:lang w:val="nl-NL"/>
              </w:rPr>
              <w:t>3</w:t>
            </w:r>
          </w:p>
          <w:p w14:paraId="4D4EEB62" w14:textId="70235F59" w:rsidR="00E67E98" w:rsidRPr="001330FC" w:rsidRDefault="00E67E98" w:rsidP="00E67E98">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1009" w:type="pct"/>
            <w:shd w:val="clear" w:color="auto" w:fill="auto"/>
            <w:vAlign w:val="center"/>
          </w:tcPr>
          <w:p w14:paraId="61F2A178" w14:textId="4E407A6F" w:rsidR="00E67E98" w:rsidRPr="004647B9" w:rsidRDefault="00D20DF1" w:rsidP="00E67E98">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C31909">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C31909">
              <w:rPr>
                <w:rFonts w:ascii="Times New Roman" w:eastAsia="Times New Roman" w:hAnsi="Times New Roman"/>
                <w:b/>
                <w:sz w:val="24"/>
                <w:szCs w:val="24"/>
                <w:lang w:val="nl-NL"/>
              </w:rPr>
              <w:t>12</w:t>
            </w:r>
            <w:r w:rsidR="00E67E98" w:rsidRPr="004647B9">
              <w:rPr>
                <w:rFonts w:ascii="Times New Roman" w:eastAsia="Times New Roman" w:hAnsi="Times New Roman"/>
                <w:b/>
                <w:sz w:val="24"/>
                <w:szCs w:val="24"/>
                <w:lang w:val="nl-NL"/>
              </w:rPr>
              <w:t>/20</w:t>
            </w:r>
            <w:r w:rsidR="00E67E98">
              <w:rPr>
                <w:rFonts w:ascii="Times New Roman" w:eastAsia="Times New Roman" w:hAnsi="Times New Roman"/>
                <w:b/>
                <w:sz w:val="24"/>
                <w:szCs w:val="24"/>
                <w:lang w:val="nl-NL"/>
              </w:rPr>
              <w:t>22</w:t>
            </w:r>
          </w:p>
          <w:p w14:paraId="595F60E4" w14:textId="34296564" w:rsidR="00E67E98" w:rsidRPr="001330FC" w:rsidRDefault="00E67E98" w:rsidP="00E67E98">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14" w:type="pct"/>
            <w:shd w:val="clear" w:color="auto" w:fill="auto"/>
            <w:vAlign w:val="center"/>
          </w:tcPr>
          <w:p w14:paraId="7389DF5C" w14:textId="6675585D" w:rsidR="00E67E98" w:rsidRPr="004647B9" w:rsidRDefault="00D20DF1" w:rsidP="00E67E98">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C31909">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C31909">
              <w:rPr>
                <w:rFonts w:ascii="Times New Roman" w:eastAsia="Times New Roman" w:hAnsi="Times New Roman"/>
                <w:b/>
                <w:sz w:val="24"/>
                <w:szCs w:val="24"/>
                <w:lang w:val="nl-NL"/>
              </w:rPr>
              <w:t>12</w:t>
            </w:r>
            <w:r w:rsidR="00E67E98" w:rsidRPr="004647B9">
              <w:rPr>
                <w:rFonts w:ascii="Times New Roman" w:eastAsia="Times New Roman" w:hAnsi="Times New Roman"/>
                <w:b/>
                <w:sz w:val="24"/>
                <w:szCs w:val="24"/>
                <w:lang w:val="nl-NL"/>
              </w:rPr>
              <w:t>/20</w:t>
            </w:r>
            <w:r w:rsidR="00E67E98">
              <w:rPr>
                <w:rFonts w:ascii="Times New Roman" w:eastAsia="Times New Roman" w:hAnsi="Times New Roman"/>
                <w:b/>
                <w:sz w:val="24"/>
                <w:szCs w:val="24"/>
                <w:lang w:val="nl-NL"/>
              </w:rPr>
              <w:t>21</w:t>
            </w:r>
          </w:p>
          <w:p w14:paraId="2B058C43" w14:textId="0B4AD312" w:rsidR="00E67E98" w:rsidRPr="001330FC" w:rsidRDefault="00E67E98" w:rsidP="00E67E98">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010F11" w:rsidRPr="00A90AB7" w14:paraId="2450D773" w14:textId="77777777" w:rsidTr="00BE6F58">
        <w:tc>
          <w:tcPr>
            <w:tcW w:w="2114" w:type="pct"/>
            <w:shd w:val="clear" w:color="auto" w:fill="auto"/>
          </w:tcPr>
          <w:p w14:paraId="1AE229FE" w14:textId="3BE99F55" w:rsidR="00010F11" w:rsidRPr="001330FC" w:rsidRDefault="00010F11" w:rsidP="00010F11">
            <w:pPr>
              <w:tabs>
                <w:tab w:val="left" w:pos="540"/>
              </w:tabs>
              <w:spacing w:before="120" w:after="120" w:line="240" w:lineRule="auto"/>
              <w:ind w:left="57" w:right="57"/>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Tỷ lệ tăng trưởng /01 đơn vị CCQ (%)</w:t>
            </w:r>
          </w:p>
        </w:tc>
        <w:tc>
          <w:tcPr>
            <w:tcW w:w="962" w:type="pct"/>
            <w:shd w:val="clear" w:color="auto" w:fill="auto"/>
          </w:tcPr>
          <w:p w14:paraId="7171C538" w14:textId="56A29DE9" w:rsidR="00010F11" w:rsidRPr="003E0EF5" w:rsidRDefault="00010F11" w:rsidP="00010F11">
            <w:pPr>
              <w:tabs>
                <w:tab w:val="left" w:pos="540"/>
              </w:tabs>
              <w:spacing w:before="120" w:line="240" w:lineRule="auto"/>
              <w:jc w:val="center"/>
              <w:rPr>
                <w:rFonts w:ascii="Times New Roman" w:eastAsia="Times New Roman" w:hAnsi="Times New Roman"/>
                <w:sz w:val="24"/>
                <w:szCs w:val="24"/>
                <w:lang w:val="nl-NL"/>
              </w:rPr>
            </w:pPr>
            <w:r w:rsidRPr="006832E9">
              <w:rPr>
                <w:rFonts w:ascii="Times New Roman" w:eastAsia="Times New Roman" w:hAnsi="Times New Roman"/>
                <w:sz w:val="24"/>
                <w:szCs w:val="24"/>
                <w:lang w:val="nl-NL"/>
              </w:rPr>
              <w:t>12,94</w:t>
            </w:r>
          </w:p>
        </w:tc>
        <w:tc>
          <w:tcPr>
            <w:tcW w:w="1009" w:type="pct"/>
            <w:shd w:val="clear" w:color="auto" w:fill="auto"/>
          </w:tcPr>
          <w:p w14:paraId="34A7EE47" w14:textId="49C60412" w:rsidR="00010F11" w:rsidRPr="003E0EF5" w:rsidRDefault="00010F11" w:rsidP="00010F11">
            <w:pPr>
              <w:tabs>
                <w:tab w:val="left" w:pos="540"/>
              </w:tabs>
              <w:spacing w:before="120" w:line="240" w:lineRule="auto"/>
              <w:jc w:val="center"/>
              <w:rPr>
                <w:rFonts w:ascii="Times New Roman" w:eastAsia="Times New Roman" w:hAnsi="Times New Roman"/>
                <w:sz w:val="24"/>
                <w:szCs w:val="24"/>
                <w:lang w:val="nl-NL"/>
              </w:rPr>
            </w:pPr>
            <w:r w:rsidRPr="006832E9">
              <w:rPr>
                <w:rFonts w:ascii="Times New Roman" w:eastAsia="Times New Roman" w:hAnsi="Times New Roman"/>
                <w:sz w:val="24"/>
                <w:szCs w:val="24"/>
                <w:lang w:val="nl-NL"/>
              </w:rPr>
              <w:t>-25,10</w:t>
            </w:r>
          </w:p>
        </w:tc>
        <w:tc>
          <w:tcPr>
            <w:tcW w:w="914" w:type="pct"/>
            <w:shd w:val="clear" w:color="auto" w:fill="auto"/>
          </w:tcPr>
          <w:p w14:paraId="296CFA3A" w14:textId="5738A372" w:rsidR="00010F11" w:rsidRPr="003E0EF5" w:rsidRDefault="00010F11" w:rsidP="00010F11">
            <w:pPr>
              <w:tabs>
                <w:tab w:val="left" w:pos="540"/>
              </w:tabs>
              <w:spacing w:before="120" w:line="240" w:lineRule="auto"/>
              <w:jc w:val="center"/>
              <w:rPr>
                <w:rFonts w:ascii="Times New Roman" w:eastAsia="Times New Roman" w:hAnsi="Times New Roman"/>
                <w:sz w:val="24"/>
                <w:szCs w:val="24"/>
                <w:lang w:val="nl-NL"/>
              </w:rPr>
            </w:pPr>
            <w:r w:rsidRPr="006832E9">
              <w:rPr>
                <w:rFonts w:ascii="Times New Roman" w:eastAsia="Times New Roman" w:hAnsi="Times New Roman"/>
                <w:sz w:val="24"/>
                <w:szCs w:val="24"/>
                <w:lang w:val="nl-NL"/>
              </w:rPr>
              <w:t>30,05</w:t>
            </w:r>
          </w:p>
        </w:tc>
      </w:tr>
    </w:tbl>
    <w:p w14:paraId="79FAE0D4" w14:textId="77777777" w:rsidR="00505ACF" w:rsidRDefault="00505ACF" w:rsidP="0083372E">
      <w:pPr>
        <w:shd w:val="clear" w:color="auto" w:fill="FFFFFF"/>
        <w:tabs>
          <w:tab w:val="left" w:pos="540"/>
        </w:tabs>
        <w:spacing w:before="120" w:after="0" w:line="240" w:lineRule="auto"/>
        <w:jc w:val="both"/>
        <w:rPr>
          <w:rFonts w:ascii="Times New Roman" w:hAnsi="Times New Roman"/>
          <w:b/>
          <w:sz w:val="24"/>
          <w:szCs w:val="24"/>
          <w:highlight w:val="yellow"/>
          <w:lang w:val="nl-NL"/>
        </w:rPr>
      </w:pPr>
    </w:p>
    <w:p w14:paraId="04D76C6E" w14:textId="50932426" w:rsidR="00BE6F63" w:rsidRPr="00A90AB7"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9A46F6">
        <w:rPr>
          <w:rFonts w:ascii="Times New Roman" w:hAnsi="Times New Roman"/>
          <w:b/>
          <w:sz w:val="24"/>
          <w:szCs w:val="24"/>
          <w:lang w:val="nl-NL"/>
        </w:rPr>
        <w:t>3</w:t>
      </w:r>
      <w:r w:rsidR="00BE6F63" w:rsidRPr="009A46F6">
        <w:rPr>
          <w:rFonts w:ascii="Times New Roman" w:hAnsi="Times New Roman"/>
          <w:b/>
          <w:sz w:val="24"/>
          <w:szCs w:val="24"/>
          <w:lang w:val="nl-NL"/>
        </w:rPr>
        <w:t>. Mô tả thị trường trong kỳ:</w:t>
      </w:r>
    </w:p>
    <w:p w14:paraId="1B0FD4F4" w14:textId="77777777" w:rsidR="006F7C5E" w:rsidRDefault="006F7C5E" w:rsidP="006F7C5E">
      <w:pPr>
        <w:shd w:val="clear" w:color="auto" w:fill="FFFFFF"/>
        <w:tabs>
          <w:tab w:val="left" w:pos="540"/>
        </w:tabs>
        <w:spacing w:before="120" w:after="0" w:line="240" w:lineRule="auto"/>
        <w:jc w:val="both"/>
        <w:rPr>
          <w:rFonts w:ascii="Times New Roman" w:hAnsi="Times New Roman"/>
          <w:sz w:val="24"/>
          <w:szCs w:val="24"/>
        </w:rPr>
      </w:pPr>
      <w:bookmarkStart w:id="1" w:name="_Hlk139533534"/>
      <w:r w:rsidRPr="00290D33">
        <w:rPr>
          <w:rFonts w:ascii="Times New Roman" w:hAnsi="Times New Roman"/>
          <w:sz w:val="24"/>
          <w:szCs w:val="24"/>
        </w:rPr>
        <w:t xml:space="preserve">Kinh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Xã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hội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quý</w:t>
      </w:r>
      <w:proofErr w:type="spellEnd"/>
      <w:r w:rsidRPr="00290D33">
        <w:rPr>
          <w:rFonts w:ascii="Times New Roman" w:hAnsi="Times New Roman"/>
          <w:sz w:val="24"/>
          <w:szCs w:val="24"/>
        </w:rPr>
        <w:t xml:space="preserve"> </w:t>
      </w:r>
      <w:r>
        <w:rPr>
          <w:rFonts w:ascii="Times New Roman" w:hAnsi="Times New Roman"/>
          <w:sz w:val="24"/>
          <w:szCs w:val="24"/>
        </w:rPr>
        <w:t>4</w:t>
      </w:r>
      <w:r w:rsidRPr="00290D33">
        <w:rPr>
          <w:rFonts w:ascii="Times New Roman" w:hAnsi="Times New Roman"/>
          <w:sz w:val="24"/>
          <w:szCs w:val="24"/>
        </w:rPr>
        <w:t xml:space="preserve">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w:t>
      </w:r>
      <w:r>
        <w:rPr>
          <w:rFonts w:ascii="Times New Roman" w:hAnsi="Times New Roman"/>
          <w:sz w:val="24"/>
          <w:szCs w:val="24"/>
        </w:rPr>
        <w:t>3</w:t>
      </w:r>
      <w:r w:rsidRPr="00290D33">
        <w:rPr>
          <w:rFonts w:ascii="Times New Roman" w:hAnsi="Times New Roman"/>
          <w:sz w:val="24"/>
          <w:szCs w:val="24"/>
        </w:rPr>
        <w:t xml:space="preserve"> </w:t>
      </w:r>
      <w:proofErr w:type="spellStart"/>
      <w:r w:rsidRPr="00290D33">
        <w:rPr>
          <w:rFonts w:ascii="Times New Roman" w:hAnsi="Times New Roman"/>
          <w:sz w:val="24"/>
          <w:szCs w:val="24"/>
        </w:rPr>
        <w:t>diễn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ra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bối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cảnh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giới</w:t>
      </w:r>
      <w:proofErr w:type="spellEnd"/>
      <w:r w:rsidRPr="00290D33">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sidRPr="00290D33">
        <w:rPr>
          <w:rFonts w:ascii="Times New Roman" w:hAnsi="Times New Roman"/>
          <w:sz w:val="24"/>
          <w:szCs w:val="24"/>
        </w:rPr>
        <w:t>đối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mặt</w:t>
      </w:r>
      <w:proofErr w:type="spellEnd"/>
      <w:r w:rsidRPr="00290D33">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nhiều</w:t>
      </w:r>
      <w:proofErr w:type="spellEnd"/>
      <w:r>
        <w:rPr>
          <w:rFonts w:ascii="Times New Roman" w:hAnsi="Times New Roman"/>
          <w:sz w:val="24"/>
          <w:szCs w:val="24"/>
        </w:rPr>
        <w:t xml:space="preserve"> </w:t>
      </w:r>
      <w:proofErr w:type="spellStart"/>
      <w:r>
        <w:rPr>
          <w:rFonts w:ascii="Times New Roman" w:hAnsi="Times New Roman"/>
          <w:sz w:val="24"/>
          <w:szCs w:val="24"/>
        </w:rPr>
        <w:t>thách</w:t>
      </w:r>
      <w:proofErr w:type="spellEnd"/>
      <w:r>
        <w:rPr>
          <w:rFonts w:ascii="Times New Roman" w:hAnsi="Times New Roman"/>
          <w:sz w:val="24"/>
          <w:szCs w:val="24"/>
        </w:rPr>
        <w:t xml:space="preserve"> </w:t>
      </w:r>
      <w:proofErr w:type="spellStart"/>
      <w:r>
        <w:rPr>
          <w:rFonts w:ascii="Times New Roman" w:hAnsi="Times New Roman"/>
          <w:sz w:val="24"/>
          <w:szCs w:val="24"/>
        </w:rPr>
        <w:t>thức</w:t>
      </w:r>
      <w:proofErr w:type="spellEnd"/>
      <w:r>
        <w:rPr>
          <w:rFonts w:ascii="Times New Roman" w:hAnsi="Times New Roman"/>
          <w:sz w:val="24"/>
          <w:szCs w:val="24"/>
        </w:rPr>
        <w:t>.</w:t>
      </w:r>
      <w:r w:rsidRPr="00290D33">
        <w:rPr>
          <w:rFonts w:ascii="Times New Roman" w:hAnsi="Times New Roman"/>
          <w:sz w:val="24"/>
          <w:szCs w:val="24"/>
        </w:rPr>
        <w:t xml:space="preserve"> </w:t>
      </w:r>
      <w:r>
        <w:rPr>
          <w:rFonts w:ascii="Times New Roman" w:hAnsi="Times New Roman"/>
          <w:sz w:val="24"/>
          <w:szCs w:val="24"/>
        </w:rPr>
        <w:t xml:space="preserve">Khi </w:t>
      </w:r>
      <w:proofErr w:type="spellStart"/>
      <w:r>
        <w:rPr>
          <w:rFonts w:ascii="Times New Roman" w:hAnsi="Times New Roman"/>
          <w:sz w:val="24"/>
          <w:szCs w:val="24"/>
        </w:rPr>
        <w:t>x</w:t>
      </w:r>
      <w:r w:rsidRPr="00290D33">
        <w:rPr>
          <w:rFonts w:ascii="Times New Roman" w:hAnsi="Times New Roman"/>
          <w:sz w:val="24"/>
          <w:szCs w:val="24"/>
        </w:rPr>
        <w:t>ung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đột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địa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chính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trị</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giữa</w:t>
      </w:r>
      <w:proofErr w:type="spellEnd"/>
      <w:r w:rsidRPr="00290D33">
        <w:rPr>
          <w:rFonts w:ascii="Times New Roman" w:hAnsi="Times New Roman"/>
          <w:sz w:val="24"/>
          <w:szCs w:val="24"/>
        </w:rPr>
        <w:t xml:space="preserve"> Nga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Ukraina</w:t>
      </w:r>
      <w:proofErr w:type="spellEnd"/>
      <w:r w:rsidRPr="00290D33">
        <w:rPr>
          <w:rFonts w:ascii="Times New Roman" w:hAnsi="Times New Roman"/>
          <w:sz w:val="24"/>
          <w:szCs w:val="24"/>
        </w:rPr>
        <w:t xml:space="preserve"> </w:t>
      </w:r>
      <w:proofErr w:type="spellStart"/>
      <w:r>
        <w:rPr>
          <w:rFonts w:ascii="Times New Roman" w:hAnsi="Times New Roman"/>
          <w:sz w:val="24"/>
          <w:szCs w:val="24"/>
        </w:rPr>
        <w:t>chưa</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dấu</w:t>
      </w:r>
      <w:proofErr w:type="spellEnd"/>
      <w:r>
        <w:rPr>
          <w:rFonts w:ascii="Times New Roman" w:hAnsi="Times New Roman"/>
          <w:sz w:val="24"/>
          <w:szCs w:val="24"/>
        </w:rPr>
        <w:t xml:space="preserve"> </w:t>
      </w:r>
      <w:proofErr w:type="spellStart"/>
      <w:r>
        <w:rPr>
          <w:rFonts w:ascii="Times New Roman" w:hAnsi="Times New Roman"/>
          <w:sz w:val="24"/>
          <w:szCs w:val="24"/>
        </w:rPr>
        <w:t>hiệu</w:t>
      </w:r>
      <w:proofErr w:type="spellEnd"/>
      <w:r>
        <w:rPr>
          <w:rFonts w:ascii="Times New Roman" w:hAnsi="Times New Roman"/>
          <w:sz w:val="24"/>
          <w:szCs w:val="24"/>
        </w:rPr>
        <w:t xml:space="preserve"> </w:t>
      </w: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thúc</w:t>
      </w:r>
      <w:proofErr w:type="spellEnd"/>
      <w:r>
        <w:rPr>
          <w:rFonts w:ascii="Times New Roman" w:hAnsi="Times New Roman"/>
          <w:sz w:val="24"/>
          <w:szCs w:val="24"/>
        </w:rPr>
        <w:t xml:space="preserve">, </w:t>
      </w:r>
      <w:proofErr w:type="spellStart"/>
      <w:r>
        <w:rPr>
          <w:rFonts w:ascii="Times New Roman" w:hAnsi="Times New Roman"/>
          <w:sz w:val="24"/>
          <w:szCs w:val="24"/>
        </w:rPr>
        <w:t>thì</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xảy</w:t>
      </w:r>
      <w:proofErr w:type="spellEnd"/>
      <w:r>
        <w:rPr>
          <w:rFonts w:ascii="Times New Roman" w:hAnsi="Times New Roman"/>
          <w:sz w:val="24"/>
          <w:szCs w:val="24"/>
        </w:rPr>
        <w:t xml:space="preserve"> </w:t>
      </w:r>
      <w:proofErr w:type="spellStart"/>
      <w:r>
        <w:rPr>
          <w:rFonts w:ascii="Times New Roman" w:hAnsi="Times New Roman"/>
          <w:sz w:val="24"/>
          <w:szCs w:val="24"/>
        </w:rPr>
        <w:t>ra</w:t>
      </w:r>
      <w:proofErr w:type="spellEnd"/>
      <w:r>
        <w:rPr>
          <w:rFonts w:ascii="Times New Roman" w:hAnsi="Times New Roman"/>
          <w:sz w:val="24"/>
          <w:szCs w:val="24"/>
        </w:rPr>
        <w:t xml:space="preserve"> </w:t>
      </w:r>
      <w:proofErr w:type="spellStart"/>
      <w:r>
        <w:rPr>
          <w:rFonts w:ascii="Times New Roman" w:hAnsi="Times New Roman"/>
          <w:sz w:val="24"/>
          <w:szCs w:val="24"/>
        </w:rPr>
        <w:t>thêm</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cuộc</w:t>
      </w:r>
      <w:proofErr w:type="spellEnd"/>
      <w:r>
        <w:rPr>
          <w:rFonts w:ascii="Times New Roman" w:hAnsi="Times New Roman"/>
          <w:sz w:val="24"/>
          <w:szCs w:val="24"/>
        </w:rPr>
        <w:t xml:space="preserve"> </w:t>
      </w:r>
      <w:proofErr w:type="spellStart"/>
      <w:r>
        <w:rPr>
          <w:rFonts w:ascii="Times New Roman" w:hAnsi="Times New Roman"/>
          <w:sz w:val="24"/>
          <w:szCs w:val="24"/>
        </w:rPr>
        <w:t>giao</w:t>
      </w:r>
      <w:proofErr w:type="spellEnd"/>
      <w:r>
        <w:rPr>
          <w:rFonts w:ascii="Times New Roman" w:hAnsi="Times New Roman"/>
          <w:sz w:val="24"/>
          <w:szCs w:val="24"/>
        </w:rPr>
        <w:t xml:space="preserve"> </w:t>
      </w:r>
      <w:proofErr w:type="spellStart"/>
      <w:r>
        <w:rPr>
          <w:rFonts w:ascii="Times New Roman" w:hAnsi="Times New Roman"/>
          <w:sz w:val="24"/>
          <w:szCs w:val="24"/>
        </w:rPr>
        <w:t>tranh</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w:t>
      </w:r>
      <w:proofErr w:type="spellStart"/>
      <w:r>
        <w:rPr>
          <w:rFonts w:ascii="Times New Roman" w:hAnsi="Times New Roman"/>
          <w:sz w:val="24"/>
          <w:szCs w:val="24"/>
        </w:rPr>
        <w:t>khu</w:t>
      </w:r>
      <w:proofErr w:type="spellEnd"/>
      <w:r>
        <w:rPr>
          <w:rFonts w:ascii="Times New Roman" w:hAnsi="Times New Roman"/>
          <w:sz w:val="24"/>
          <w:szCs w:val="24"/>
        </w:rPr>
        <w:t xml:space="preserve"> </w:t>
      </w:r>
      <w:proofErr w:type="spellStart"/>
      <w:r>
        <w:rPr>
          <w:rFonts w:ascii="Times New Roman" w:hAnsi="Times New Roman"/>
          <w:sz w:val="24"/>
          <w:szCs w:val="24"/>
        </w:rPr>
        <w:t>vực</w:t>
      </w:r>
      <w:proofErr w:type="spellEnd"/>
      <w:r>
        <w:rPr>
          <w:rFonts w:ascii="Times New Roman" w:hAnsi="Times New Roman"/>
          <w:sz w:val="24"/>
          <w:szCs w:val="24"/>
        </w:rPr>
        <w:t xml:space="preserve"> Trung Đông.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đổi</w:t>
      </w:r>
      <w:proofErr w:type="spellEnd"/>
      <w:r>
        <w:rPr>
          <w:rFonts w:ascii="Times New Roman" w:hAnsi="Times New Roman"/>
          <w:sz w:val="24"/>
          <w:szCs w:val="24"/>
        </w:rPr>
        <w:t xml:space="preserve"> </w:t>
      </w:r>
      <w:proofErr w:type="spellStart"/>
      <w:r>
        <w:rPr>
          <w:rFonts w:ascii="Times New Roman" w:hAnsi="Times New Roman"/>
          <w:sz w:val="24"/>
          <w:szCs w:val="24"/>
        </w:rPr>
        <w:t>khí</w:t>
      </w:r>
      <w:proofErr w:type="spellEnd"/>
      <w:r>
        <w:rPr>
          <w:rFonts w:ascii="Times New Roman" w:hAnsi="Times New Roman"/>
          <w:sz w:val="24"/>
          <w:szCs w:val="24"/>
        </w:rPr>
        <w:t xml:space="preserve"> </w:t>
      </w:r>
      <w:proofErr w:type="spellStart"/>
      <w:r>
        <w:rPr>
          <w:rFonts w:ascii="Times New Roman" w:hAnsi="Times New Roman"/>
          <w:sz w:val="24"/>
          <w:szCs w:val="24"/>
        </w:rPr>
        <w:t>hậu</w:t>
      </w:r>
      <w:proofErr w:type="spellEnd"/>
      <w:r>
        <w:rPr>
          <w:rFonts w:ascii="Times New Roman" w:hAnsi="Times New Roman"/>
          <w:sz w:val="24"/>
          <w:szCs w:val="24"/>
        </w:rPr>
        <w:t xml:space="preserve">, </w:t>
      </w:r>
      <w:proofErr w:type="spellStart"/>
      <w:r>
        <w:rPr>
          <w:rFonts w:ascii="Times New Roman" w:hAnsi="Times New Roman"/>
          <w:sz w:val="24"/>
          <w:szCs w:val="24"/>
        </w:rPr>
        <w:t>thiên</w:t>
      </w:r>
      <w:proofErr w:type="spellEnd"/>
      <w:r>
        <w:rPr>
          <w:rFonts w:ascii="Times New Roman" w:hAnsi="Times New Roman"/>
          <w:sz w:val="24"/>
          <w:szCs w:val="24"/>
        </w:rPr>
        <w:t xml:space="preserve"> tai </w:t>
      </w:r>
      <w:proofErr w:type="spellStart"/>
      <w:r>
        <w:rPr>
          <w:rFonts w:ascii="Times New Roman" w:hAnsi="Times New Roman"/>
          <w:sz w:val="24"/>
          <w:szCs w:val="24"/>
        </w:rPr>
        <w:t>cũng</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tác</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tiêu</w:t>
      </w:r>
      <w:proofErr w:type="spellEnd"/>
      <w:r>
        <w:rPr>
          <w:rFonts w:ascii="Times New Roman" w:hAnsi="Times New Roman"/>
          <w:sz w:val="24"/>
          <w:szCs w:val="24"/>
        </w:rPr>
        <w:t xml:space="preserve"> </w:t>
      </w:r>
      <w:proofErr w:type="spellStart"/>
      <w:r>
        <w:rPr>
          <w:rFonts w:ascii="Times New Roman" w:hAnsi="Times New Roman"/>
          <w:sz w:val="24"/>
          <w:szCs w:val="24"/>
        </w:rPr>
        <w:t>cực</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sidRPr="00290D33">
        <w:rPr>
          <w:rFonts w:ascii="Times New Roman" w:hAnsi="Times New Roman"/>
          <w:sz w:val="24"/>
          <w:szCs w:val="24"/>
        </w:rPr>
        <w:t xml:space="preserve"> </w:t>
      </w:r>
      <w:proofErr w:type="spellStart"/>
      <w:r>
        <w:rPr>
          <w:rFonts w:ascii="Times New Roman" w:hAnsi="Times New Roman"/>
          <w:sz w:val="24"/>
          <w:szCs w:val="24"/>
        </w:rPr>
        <w:t>quá</w:t>
      </w:r>
      <w:proofErr w:type="spellEnd"/>
      <w:r>
        <w:rPr>
          <w:rFonts w:ascii="Times New Roman" w:hAnsi="Times New Roman"/>
          <w:sz w:val="24"/>
          <w:szCs w:val="24"/>
        </w:rPr>
        <w:t xml:space="preserve"> </w:t>
      </w:r>
      <w:proofErr w:type="spellStart"/>
      <w:r>
        <w:rPr>
          <w:rFonts w:ascii="Times New Roman" w:hAnsi="Times New Roman"/>
          <w:sz w:val="24"/>
          <w:szCs w:val="24"/>
        </w:rPr>
        <w:t>trình</w:t>
      </w:r>
      <w:proofErr w:type="spellEnd"/>
      <w:r>
        <w:rPr>
          <w:rFonts w:ascii="Times New Roman" w:hAnsi="Times New Roman"/>
          <w:sz w:val="24"/>
          <w:szCs w:val="24"/>
        </w:rPr>
        <w:t xml:space="preserve"> </w:t>
      </w:r>
      <w:proofErr w:type="spellStart"/>
      <w:r>
        <w:rPr>
          <w:rFonts w:ascii="Times New Roman" w:hAnsi="Times New Roman"/>
          <w:sz w:val="24"/>
          <w:szCs w:val="24"/>
        </w:rPr>
        <w:t>phục</w:t>
      </w:r>
      <w:proofErr w:type="spellEnd"/>
      <w:r>
        <w:rPr>
          <w:rFonts w:ascii="Times New Roman" w:hAnsi="Times New Roman"/>
          <w:sz w:val="24"/>
          <w:szCs w:val="24"/>
        </w:rPr>
        <w:t xml:space="preserve"> </w:t>
      </w:r>
      <w:proofErr w:type="spellStart"/>
      <w:r>
        <w:rPr>
          <w:rFonts w:ascii="Times New Roman" w:hAnsi="Times New Roman"/>
          <w:sz w:val="24"/>
          <w:szCs w:val="24"/>
        </w:rPr>
        <w:t>hồi</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giới</w:t>
      </w:r>
      <w:proofErr w:type="spellEnd"/>
      <w:r>
        <w:rPr>
          <w:rFonts w:ascii="Times New Roman" w:hAnsi="Times New Roman"/>
          <w:sz w:val="24"/>
          <w:szCs w:val="24"/>
        </w:rPr>
        <w:t xml:space="preserve">. </w:t>
      </w:r>
      <w:proofErr w:type="spellStart"/>
      <w:r w:rsidRPr="00633833">
        <w:rPr>
          <w:rFonts w:ascii="Times New Roman" w:hAnsi="Times New Roman"/>
          <w:sz w:val="24"/>
          <w:szCs w:val="24"/>
        </w:rPr>
        <w:t>Lạm</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phát</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tuy</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đã</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hạ</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nhiệt</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nhưng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vẫn</w:t>
      </w:r>
      <w:proofErr w:type="spellEnd"/>
      <w:r w:rsidRPr="00633833">
        <w:rPr>
          <w:rFonts w:ascii="Times New Roman" w:hAnsi="Times New Roman"/>
          <w:sz w:val="24"/>
          <w:szCs w:val="24"/>
        </w:rPr>
        <w:t xml:space="preserve"> neo ở </w:t>
      </w:r>
      <w:proofErr w:type="spellStart"/>
      <w:r w:rsidRPr="00633833">
        <w:rPr>
          <w:rFonts w:ascii="Times New Roman" w:hAnsi="Times New Roman"/>
          <w:sz w:val="24"/>
          <w:szCs w:val="24"/>
        </w:rPr>
        <w:t>mức</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cao</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nhiều</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nền</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kinh</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tế</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lớn</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duy</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trì</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chính</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sách</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tiền</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tệ</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thắt</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chặt</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lãi</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suất</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cao</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thương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mại</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tiêu</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dùng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và</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đầu</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tư</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toàn</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cầu</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tiếp</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tục</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suy</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giảm</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ảnh</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hưởng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đến</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hoạt</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động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xuất</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nhập</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khẩu</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của</w:t>
      </w:r>
      <w:proofErr w:type="spellEnd"/>
      <w:r w:rsidRPr="00633833">
        <w:rPr>
          <w:rFonts w:ascii="Times New Roman" w:hAnsi="Times New Roman"/>
          <w:sz w:val="24"/>
          <w:szCs w:val="24"/>
        </w:rPr>
        <w:t xml:space="preserve"> </w:t>
      </w:r>
      <w:proofErr w:type="spellStart"/>
      <w:r>
        <w:rPr>
          <w:rFonts w:ascii="Times New Roman" w:hAnsi="Times New Roman"/>
          <w:sz w:val="24"/>
          <w:szCs w:val="24"/>
        </w:rPr>
        <w:t>nhiều</w:t>
      </w:r>
      <w:proofErr w:type="spellEnd"/>
      <w:r>
        <w:rPr>
          <w:rFonts w:ascii="Times New Roman" w:hAnsi="Times New Roman"/>
          <w:sz w:val="24"/>
          <w:szCs w:val="24"/>
        </w:rPr>
        <w:t xml:space="preserve"> </w:t>
      </w:r>
      <w:proofErr w:type="spellStart"/>
      <w:r w:rsidRPr="00633833">
        <w:rPr>
          <w:rFonts w:ascii="Times New Roman" w:hAnsi="Times New Roman"/>
          <w:sz w:val="24"/>
          <w:szCs w:val="24"/>
        </w:rPr>
        <w:t>khu</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vực</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và</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thế</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giới</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Nhiều</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quốc</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gia</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trong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đó</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có</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các</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đối</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tác</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thương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mại</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lớn</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của</w:t>
      </w:r>
      <w:proofErr w:type="spellEnd"/>
      <w:r w:rsidRPr="00633833">
        <w:rPr>
          <w:rFonts w:ascii="Times New Roman" w:hAnsi="Times New Roman"/>
          <w:sz w:val="24"/>
          <w:szCs w:val="24"/>
        </w:rPr>
        <w:t xml:space="preserve"> </w:t>
      </w:r>
      <w:r>
        <w:rPr>
          <w:rFonts w:ascii="Times New Roman" w:hAnsi="Times New Roman"/>
          <w:sz w:val="24"/>
          <w:szCs w:val="24"/>
        </w:rPr>
        <w:t>Việt Nam</w:t>
      </w:r>
      <w:r w:rsidRPr="00633833">
        <w:rPr>
          <w:rFonts w:ascii="Times New Roman" w:hAnsi="Times New Roman"/>
          <w:sz w:val="24"/>
          <w:szCs w:val="24"/>
        </w:rPr>
        <w:t xml:space="preserve"> </w:t>
      </w:r>
      <w:proofErr w:type="spellStart"/>
      <w:r w:rsidRPr="00633833">
        <w:rPr>
          <w:rFonts w:ascii="Times New Roman" w:hAnsi="Times New Roman"/>
          <w:sz w:val="24"/>
          <w:szCs w:val="24"/>
        </w:rPr>
        <w:t>tăng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trưởng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chậm</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lại</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nợ</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công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tăng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cao</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tiềm</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ẩn</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nhiều</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rủi</w:t>
      </w:r>
      <w:proofErr w:type="spellEnd"/>
      <w:r w:rsidRPr="00633833">
        <w:rPr>
          <w:rFonts w:ascii="Times New Roman" w:hAnsi="Times New Roman"/>
          <w:sz w:val="24"/>
          <w:szCs w:val="24"/>
        </w:rPr>
        <w:t xml:space="preserve"> ro</w:t>
      </w:r>
      <w:r>
        <w:rPr>
          <w:rFonts w:ascii="Times New Roman" w:hAnsi="Times New Roman"/>
          <w:sz w:val="24"/>
          <w:szCs w:val="24"/>
        </w:rPr>
        <w:t>.</w:t>
      </w:r>
      <w:r w:rsidRPr="00290D33">
        <w:rPr>
          <w:rFonts w:ascii="Times New Roman" w:hAnsi="Times New Roman"/>
          <w:sz w:val="24"/>
          <w:szCs w:val="24"/>
        </w:rPr>
        <w:t xml:space="preserve"> </w:t>
      </w:r>
    </w:p>
    <w:p w14:paraId="49694C63" w14:textId="77777777" w:rsidR="006F7C5E" w:rsidRPr="00290D33" w:rsidRDefault="006F7C5E" w:rsidP="006F7C5E">
      <w:pPr>
        <w:shd w:val="clear" w:color="auto" w:fill="FFFFFF"/>
        <w:tabs>
          <w:tab w:val="left" w:pos="540"/>
        </w:tabs>
        <w:spacing w:before="120" w:after="0" w:line="240" w:lineRule="auto"/>
        <w:jc w:val="both"/>
        <w:rPr>
          <w:rFonts w:ascii="Times New Roman" w:hAnsi="Times New Roman"/>
          <w:sz w:val="24"/>
          <w:szCs w:val="24"/>
        </w:rPr>
      </w:pPr>
      <w:proofErr w:type="spellStart"/>
      <w:r w:rsidRPr="00290D33">
        <w:rPr>
          <w:rFonts w:ascii="Times New Roman" w:hAnsi="Times New Roman"/>
          <w:sz w:val="24"/>
          <w:szCs w:val="24"/>
        </w:rPr>
        <w:t>Đối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tình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hình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nước</w:t>
      </w:r>
      <w:proofErr w:type="spellEnd"/>
      <w:r w:rsidRPr="00290D33">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phủ</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áp</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nhiều</w:t>
      </w:r>
      <w:proofErr w:type="spellEnd"/>
      <w:r>
        <w:rPr>
          <w:rFonts w:ascii="Times New Roman" w:hAnsi="Times New Roman"/>
          <w:sz w:val="24"/>
          <w:szCs w:val="24"/>
        </w:rPr>
        <w:t xml:space="preserve"> </w:t>
      </w:r>
      <w:proofErr w:type="spellStart"/>
      <w:r>
        <w:rPr>
          <w:rFonts w:ascii="Times New Roman" w:hAnsi="Times New Roman"/>
          <w:sz w:val="24"/>
          <w:szCs w:val="24"/>
        </w:rPr>
        <w:t>giải</w:t>
      </w:r>
      <w:proofErr w:type="spellEnd"/>
      <w:r>
        <w:rPr>
          <w:rFonts w:ascii="Times New Roman" w:hAnsi="Times New Roman"/>
          <w:sz w:val="24"/>
          <w:szCs w:val="24"/>
        </w:rPr>
        <w:t xml:space="preserve"> </w:t>
      </w:r>
      <w:proofErr w:type="spellStart"/>
      <w:r>
        <w:rPr>
          <w:rFonts w:ascii="Times New Roman" w:hAnsi="Times New Roman"/>
          <w:sz w:val="24"/>
          <w:szCs w:val="24"/>
        </w:rPr>
        <w:t>pháp</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thúc</w:t>
      </w:r>
      <w:proofErr w:type="spellEnd"/>
      <w:r>
        <w:rPr>
          <w:rFonts w:ascii="Times New Roman" w:hAnsi="Times New Roman"/>
          <w:sz w:val="24"/>
          <w:szCs w:val="24"/>
        </w:rPr>
        <w:t xml:space="preserve"> </w:t>
      </w:r>
      <w:proofErr w:type="spellStart"/>
      <w:r>
        <w:rPr>
          <w:rFonts w:ascii="Times New Roman" w:hAnsi="Times New Roman"/>
          <w:sz w:val="24"/>
          <w:szCs w:val="24"/>
        </w:rPr>
        <w:t>đẩy</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yêu</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Ngân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thương</w:t>
      </w:r>
      <w:proofErr w:type="spellEnd"/>
      <w:r>
        <w:rPr>
          <w:rFonts w:ascii="Times New Roman" w:hAnsi="Times New Roman"/>
          <w:sz w:val="24"/>
          <w:szCs w:val="24"/>
        </w:rPr>
        <w:t xml:space="preserve"> </w:t>
      </w:r>
      <w:proofErr w:type="spellStart"/>
      <w:r>
        <w:rPr>
          <w:rFonts w:ascii="Times New Roman" w:hAnsi="Times New Roman"/>
          <w:sz w:val="24"/>
          <w:szCs w:val="24"/>
        </w:rPr>
        <w:t>mại</w:t>
      </w:r>
      <w:proofErr w:type="spellEnd"/>
      <w:r>
        <w:rPr>
          <w:rFonts w:ascii="Times New Roman" w:hAnsi="Times New Roman"/>
          <w:sz w:val="24"/>
          <w:szCs w:val="24"/>
        </w:rPr>
        <w:t xml:space="preserve"> </w:t>
      </w:r>
      <w:proofErr w:type="spellStart"/>
      <w:r>
        <w:rPr>
          <w:rFonts w:ascii="Times New Roman" w:hAnsi="Times New Roman"/>
          <w:sz w:val="24"/>
          <w:szCs w:val="24"/>
        </w:rPr>
        <w:t>g</w:t>
      </w:r>
      <w:r w:rsidRPr="00B543DE">
        <w:rPr>
          <w:rFonts w:ascii="Times New Roman" w:hAnsi="Times New Roman"/>
          <w:sz w:val="24"/>
          <w:szCs w:val="24"/>
        </w:rPr>
        <w:t>iảm</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mặt</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bằng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lãi</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suất</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cho</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vay</w:t>
      </w:r>
      <w:proofErr w:type="spellEnd"/>
      <w:r>
        <w:rPr>
          <w:rFonts w:ascii="Times New Roman" w:hAnsi="Times New Roman"/>
          <w:sz w:val="24"/>
          <w:szCs w:val="24"/>
        </w:rPr>
        <w:t>;</w:t>
      </w:r>
      <w:r w:rsidRPr="00B543DE">
        <w:rPr>
          <w:rFonts w:ascii="Times New Roman" w:hAnsi="Times New Roman"/>
          <w:sz w:val="24"/>
          <w:szCs w:val="24"/>
        </w:rPr>
        <w:t xml:space="preserve"> </w:t>
      </w:r>
      <w:proofErr w:type="spellStart"/>
      <w:r>
        <w:rPr>
          <w:rFonts w:ascii="Times New Roman" w:hAnsi="Times New Roman"/>
          <w:sz w:val="24"/>
          <w:szCs w:val="24"/>
        </w:rPr>
        <w:t>thúc</w:t>
      </w:r>
      <w:proofErr w:type="spellEnd"/>
      <w:r>
        <w:rPr>
          <w:rFonts w:ascii="Times New Roman" w:hAnsi="Times New Roman"/>
          <w:sz w:val="24"/>
          <w:szCs w:val="24"/>
        </w:rPr>
        <w:t xml:space="preserve"> </w:t>
      </w:r>
      <w:proofErr w:type="spellStart"/>
      <w:r>
        <w:rPr>
          <w:rFonts w:ascii="Times New Roman" w:hAnsi="Times New Roman"/>
          <w:sz w:val="24"/>
          <w:szCs w:val="24"/>
        </w:rPr>
        <w:t>đẩy</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sidRPr="00B543DE">
        <w:rPr>
          <w:rFonts w:ascii="Times New Roman" w:hAnsi="Times New Roman"/>
          <w:sz w:val="24"/>
          <w:szCs w:val="24"/>
        </w:rPr>
        <w:t>ổn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định</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thị</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trường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ngoại</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hối</w:t>
      </w:r>
      <w:proofErr w:type="spellEnd"/>
      <w:r>
        <w:rPr>
          <w:rFonts w:ascii="Times New Roman" w:hAnsi="Times New Roman"/>
          <w:sz w:val="24"/>
          <w:szCs w:val="24"/>
        </w:rPr>
        <w:t>;</w:t>
      </w:r>
      <w:r w:rsidRPr="00B543DE">
        <w:rPr>
          <w:rFonts w:ascii="Times New Roman" w:hAnsi="Times New Roman"/>
          <w:sz w:val="24"/>
          <w:szCs w:val="24"/>
        </w:rPr>
        <w:t xml:space="preserve"> </w:t>
      </w:r>
      <w:proofErr w:type="spellStart"/>
      <w:r w:rsidRPr="00B543DE">
        <w:rPr>
          <w:rFonts w:ascii="Times New Roman" w:hAnsi="Times New Roman"/>
          <w:sz w:val="24"/>
          <w:szCs w:val="24"/>
        </w:rPr>
        <w:t>thúc</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đẩy</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giải</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ngân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vốn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đầu</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tư</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công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triển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khai</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các</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gói</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tín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dụng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hỗ</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trợ</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các</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ngành</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lĩnh</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vực</w:t>
      </w:r>
      <w:proofErr w:type="spellEnd"/>
      <w:r>
        <w:rPr>
          <w:rFonts w:ascii="Times New Roman" w:hAnsi="Times New Roman"/>
          <w:sz w:val="24"/>
          <w:szCs w:val="24"/>
        </w:rPr>
        <w:t xml:space="preserve"> </w:t>
      </w:r>
      <w:proofErr w:type="spellStart"/>
      <w:r>
        <w:rPr>
          <w:rFonts w:ascii="Times New Roman" w:hAnsi="Times New Roman"/>
          <w:sz w:val="24"/>
          <w:szCs w:val="24"/>
        </w:rPr>
        <w:t>ưu</w:t>
      </w:r>
      <w:proofErr w:type="spellEnd"/>
      <w:r>
        <w:rPr>
          <w:rFonts w:ascii="Times New Roman" w:hAnsi="Times New Roman"/>
          <w:sz w:val="24"/>
          <w:szCs w:val="24"/>
        </w:rPr>
        <w:t xml:space="preserve"> </w:t>
      </w:r>
      <w:proofErr w:type="spellStart"/>
      <w:r>
        <w:rPr>
          <w:rFonts w:ascii="Times New Roman" w:hAnsi="Times New Roman"/>
          <w:sz w:val="24"/>
          <w:szCs w:val="24"/>
        </w:rPr>
        <w:t>tiên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miễn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giảm</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gia</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hạn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thuế</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phí</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tiền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sử</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dụng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đất</w:t>
      </w:r>
      <w:proofErr w:type="spellEnd"/>
      <w:r>
        <w:rPr>
          <w:rFonts w:ascii="Times New Roman" w:hAnsi="Times New Roman"/>
          <w:sz w:val="24"/>
          <w:szCs w:val="24"/>
        </w:rPr>
        <w:t xml:space="preserve">… Tuy </w:t>
      </w:r>
      <w:proofErr w:type="spellStart"/>
      <w:r>
        <w:rPr>
          <w:rFonts w:ascii="Times New Roman" w:hAnsi="Times New Roman"/>
          <w:sz w:val="24"/>
          <w:szCs w:val="24"/>
        </w:rPr>
        <w:t>vậy</w:t>
      </w:r>
      <w:proofErr w:type="spellEnd"/>
      <w:r>
        <w:rPr>
          <w:rFonts w:ascii="Times New Roman" w:hAnsi="Times New Roman"/>
          <w:sz w:val="24"/>
          <w:szCs w:val="24"/>
        </w:rPr>
        <w:t xml:space="preserve"> </w:t>
      </w:r>
      <w:proofErr w:type="spellStart"/>
      <w:r>
        <w:rPr>
          <w:rFonts w:ascii="Times New Roman" w:hAnsi="Times New Roman"/>
          <w:sz w:val="24"/>
          <w:szCs w:val="24"/>
        </w:rPr>
        <w:t>khả</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hấp</w:t>
      </w:r>
      <w:proofErr w:type="spellEnd"/>
      <w:r>
        <w:rPr>
          <w:rFonts w:ascii="Times New Roman" w:hAnsi="Times New Roman"/>
          <w:sz w:val="24"/>
          <w:szCs w:val="24"/>
        </w:rPr>
        <w:t xml:space="preserve"> </w:t>
      </w:r>
      <w:proofErr w:type="spellStart"/>
      <w:r>
        <w:rPr>
          <w:rFonts w:ascii="Times New Roman" w:hAnsi="Times New Roman"/>
          <w:sz w:val="24"/>
          <w:szCs w:val="24"/>
        </w:rPr>
        <w:t>thụ</w:t>
      </w:r>
      <w:proofErr w:type="spellEnd"/>
      <w:r>
        <w:rPr>
          <w:rFonts w:ascii="Times New Roman" w:hAnsi="Times New Roman"/>
          <w:sz w:val="24"/>
          <w:szCs w:val="24"/>
        </w:rPr>
        <w:t xml:space="preserve"> </w:t>
      </w:r>
      <w:proofErr w:type="spellStart"/>
      <w:r>
        <w:rPr>
          <w:rFonts w:ascii="Times New Roman" w:hAnsi="Times New Roman"/>
          <w:sz w:val="24"/>
          <w:szCs w:val="24"/>
        </w:rPr>
        <w:t>vốn</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còn</w:t>
      </w:r>
      <w:proofErr w:type="spellEnd"/>
      <w:r>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 xml:space="preserve">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trước</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nhu</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mở</w:t>
      </w:r>
      <w:proofErr w:type="spellEnd"/>
      <w:r>
        <w:rPr>
          <w:rFonts w:ascii="Times New Roman" w:hAnsi="Times New Roman"/>
          <w:sz w:val="24"/>
          <w:szCs w:val="24"/>
        </w:rPr>
        <w:t xml:space="preserve"> </w:t>
      </w:r>
      <w:proofErr w:type="spellStart"/>
      <w:r>
        <w:rPr>
          <w:rFonts w:ascii="Times New Roman" w:hAnsi="Times New Roman"/>
          <w:sz w:val="24"/>
          <w:szCs w:val="24"/>
        </w:rPr>
        <w:t>rộng</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khá</w:t>
      </w:r>
      <w:proofErr w:type="spellEnd"/>
      <w:r>
        <w:rPr>
          <w:rFonts w:ascii="Times New Roman" w:hAnsi="Times New Roman"/>
          <w:sz w:val="24"/>
          <w:szCs w:val="24"/>
        </w:rPr>
        <w:t xml:space="preserve"> </w:t>
      </w:r>
      <w:proofErr w:type="spellStart"/>
      <w:r>
        <w:rPr>
          <w:rFonts w:ascii="Times New Roman" w:hAnsi="Times New Roman"/>
          <w:sz w:val="24"/>
          <w:szCs w:val="24"/>
        </w:rPr>
        <w:t>yếu</w:t>
      </w:r>
      <w:proofErr w:type="spellEnd"/>
      <w:r>
        <w:rPr>
          <w:rFonts w:ascii="Times New Roman" w:hAnsi="Times New Roman"/>
          <w:sz w:val="24"/>
          <w:szCs w:val="24"/>
        </w:rPr>
        <w:t xml:space="preserve">, </w:t>
      </w:r>
      <w:proofErr w:type="spellStart"/>
      <w:r>
        <w:rPr>
          <w:rFonts w:ascii="Times New Roman" w:hAnsi="Times New Roman"/>
          <w:sz w:val="24"/>
          <w:szCs w:val="24"/>
        </w:rPr>
        <w:t>thị</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bất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xu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khó</w:t>
      </w:r>
      <w:proofErr w:type="spellEnd"/>
      <w:r>
        <w:rPr>
          <w:rFonts w:ascii="Times New Roman" w:hAnsi="Times New Roman"/>
          <w:sz w:val="24"/>
          <w:szCs w:val="24"/>
        </w:rPr>
        <w:t xml:space="preserve"> </w:t>
      </w:r>
      <w:proofErr w:type="spellStart"/>
      <w:r>
        <w:rPr>
          <w:rFonts w:ascii="Times New Roman" w:hAnsi="Times New Roman"/>
          <w:sz w:val="24"/>
          <w:szCs w:val="24"/>
        </w:rPr>
        <w:t>khăn</w:t>
      </w:r>
      <w:proofErr w:type="spellEnd"/>
      <w:r>
        <w:rPr>
          <w:rFonts w:ascii="Times New Roman" w:hAnsi="Times New Roman"/>
          <w:sz w:val="24"/>
          <w:szCs w:val="24"/>
        </w:rPr>
        <w:t xml:space="preserve">, </w:t>
      </w:r>
      <w:proofErr w:type="spellStart"/>
      <w:r>
        <w:rPr>
          <w:rFonts w:ascii="Times New Roman" w:hAnsi="Times New Roman"/>
          <w:sz w:val="24"/>
          <w:szCs w:val="24"/>
        </w:rPr>
        <w:t>hoạt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Pr>
          <w:rFonts w:ascii="Times New Roman" w:hAnsi="Times New Roman"/>
          <w:sz w:val="24"/>
          <w:szCs w:val="24"/>
        </w:rPr>
        <w:t xml:space="preserve"> </w:t>
      </w:r>
      <w:proofErr w:type="spellStart"/>
      <w:r>
        <w:rPr>
          <w:rFonts w:ascii="Times New Roman" w:hAnsi="Times New Roman"/>
          <w:sz w:val="24"/>
          <w:szCs w:val="24"/>
        </w:rPr>
        <w:t>nhập</w:t>
      </w:r>
      <w:proofErr w:type="spellEnd"/>
      <w:r>
        <w:rPr>
          <w:rFonts w:ascii="Times New Roman" w:hAnsi="Times New Roman"/>
          <w:sz w:val="24"/>
          <w:szCs w:val="24"/>
        </w:rPr>
        <w:t xml:space="preserve"> </w:t>
      </w:r>
      <w:proofErr w:type="spellStart"/>
      <w:r>
        <w:rPr>
          <w:rFonts w:ascii="Times New Roman" w:hAnsi="Times New Roman"/>
          <w:sz w:val="24"/>
          <w:szCs w:val="24"/>
        </w:rPr>
        <w:t>khẩu</w:t>
      </w:r>
      <w:proofErr w:type="spellEnd"/>
      <w:r>
        <w:rPr>
          <w:rFonts w:ascii="Times New Roman" w:hAnsi="Times New Roman"/>
          <w:sz w:val="24"/>
          <w:szCs w:val="24"/>
        </w:rPr>
        <w:t xml:space="preserve"> </w:t>
      </w:r>
      <w:proofErr w:type="spellStart"/>
      <w:r>
        <w:rPr>
          <w:rFonts w:ascii="Times New Roman" w:hAnsi="Times New Roman"/>
          <w:sz w:val="24"/>
          <w:szCs w:val="24"/>
        </w:rPr>
        <w:t>gặp</w:t>
      </w:r>
      <w:proofErr w:type="spellEnd"/>
      <w:r>
        <w:rPr>
          <w:rFonts w:ascii="Times New Roman" w:hAnsi="Times New Roman"/>
          <w:sz w:val="24"/>
          <w:szCs w:val="24"/>
        </w:rPr>
        <w:t xml:space="preserve"> </w:t>
      </w:r>
      <w:proofErr w:type="spellStart"/>
      <w:r>
        <w:rPr>
          <w:rFonts w:ascii="Times New Roman" w:hAnsi="Times New Roman"/>
          <w:sz w:val="24"/>
          <w:szCs w:val="24"/>
        </w:rPr>
        <w:t>nhiều</w:t>
      </w:r>
      <w:proofErr w:type="spellEnd"/>
      <w:r>
        <w:rPr>
          <w:rFonts w:ascii="Times New Roman" w:hAnsi="Times New Roman"/>
          <w:sz w:val="24"/>
          <w:szCs w:val="24"/>
        </w:rPr>
        <w:t xml:space="preserve"> </w:t>
      </w:r>
      <w:proofErr w:type="spellStart"/>
      <w:r>
        <w:rPr>
          <w:rFonts w:ascii="Times New Roman" w:hAnsi="Times New Roman"/>
          <w:sz w:val="24"/>
          <w:szCs w:val="24"/>
        </w:rPr>
        <w:t>thách</w:t>
      </w:r>
      <w:proofErr w:type="spellEnd"/>
      <w:r>
        <w:rPr>
          <w:rFonts w:ascii="Times New Roman" w:hAnsi="Times New Roman"/>
          <w:sz w:val="24"/>
          <w:szCs w:val="24"/>
        </w:rPr>
        <w:t xml:space="preserve"> </w:t>
      </w:r>
      <w:proofErr w:type="spellStart"/>
      <w:r>
        <w:rPr>
          <w:rFonts w:ascii="Times New Roman" w:hAnsi="Times New Roman"/>
          <w:sz w:val="24"/>
          <w:szCs w:val="24"/>
        </w:rPr>
        <w:t>thức</w:t>
      </w:r>
      <w:proofErr w:type="spellEnd"/>
      <w:r>
        <w:rPr>
          <w:rFonts w:ascii="Times New Roman" w:hAnsi="Times New Roman"/>
          <w:sz w:val="24"/>
          <w:szCs w:val="24"/>
        </w:rPr>
        <w:t xml:space="preserve"> </w:t>
      </w:r>
      <w:proofErr w:type="spellStart"/>
      <w:r>
        <w:rPr>
          <w:rFonts w:ascii="Times New Roman" w:hAnsi="Times New Roman"/>
          <w:sz w:val="24"/>
          <w:szCs w:val="24"/>
        </w:rPr>
        <w:t>dù</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bắt</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phục</w:t>
      </w:r>
      <w:proofErr w:type="spellEnd"/>
      <w:r>
        <w:rPr>
          <w:rFonts w:ascii="Times New Roman" w:hAnsi="Times New Roman"/>
          <w:sz w:val="24"/>
          <w:szCs w:val="24"/>
        </w:rPr>
        <w:t xml:space="preserve"> </w:t>
      </w:r>
      <w:proofErr w:type="spellStart"/>
      <w:r>
        <w:rPr>
          <w:rFonts w:ascii="Times New Roman" w:hAnsi="Times New Roman"/>
          <w:sz w:val="24"/>
          <w:szCs w:val="24"/>
        </w:rPr>
        <w:t>hồi</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quý</w:t>
      </w:r>
      <w:proofErr w:type="spellEnd"/>
      <w:r>
        <w:rPr>
          <w:rFonts w:ascii="Times New Roman" w:hAnsi="Times New Roman"/>
          <w:sz w:val="24"/>
          <w:szCs w:val="24"/>
        </w:rPr>
        <w:t xml:space="preserve"> 4</w:t>
      </w:r>
      <w:r w:rsidRPr="00290D33">
        <w:rPr>
          <w:rFonts w:ascii="Times New Roman" w:hAnsi="Times New Roman"/>
          <w:sz w:val="24"/>
          <w:szCs w:val="24"/>
        </w:rPr>
        <w:t xml:space="preserve">. </w:t>
      </w:r>
    </w:p>
    <w:p w14:paraId="67A45132" w14:textId="77777777" w:rsidR="006F7C5E" w:rsidRDefault="006F7C5E" w:rsidP="006F7C5E">
      <w:pPr>
        <w:shd w:val="clear" w:color="auto" w:fill="FFFFFF"/>
        <w:tabs>
          <w:tab w:val="left" w:pos="540"/>
        </w:tabs>
        <w:spacing w:before="120" w:after="0" w:line="240" w:lineRule="auto"/>
        <w:jc w:val="both"/>
        <w:rPr>
          <w:rFonts w:ascii="Times New Roman" w:hAnsi="Times New Roman"/>
          <w:color w:val="000000" w:themeColor="text1"/>
          <w:sz w:val="24"/>
          <w:szCs w:val="24"/>
        </w:rPr>
      </w:pPr>
      <w:r w:rsidRPr="00290D33">
        <w:rPr>
          <w:rFonts w:ascii="Times New Roman" w:hAnsi="Times New Roman"/>
          <w:sz w:val="24"/>
          <w:szCs w:val="24"/>
        </w:rPr>
        <w:t xml:space="preserve">Trong </w:t>
      </w:r>
      <w:proofErr w:type="spellStart"/>
      <w:r w:rsidRPr="00290D33">
        <w:rPr>
          <w:rFonts w:ascii="Times New Roman" w:hAnsi="Times New Roman"/>
          <w:sz w:val="24"/>
          <w:szCs w:val="24"/>
        </w:rPr>
        <w:t>bối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cảnh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chung</w:t>
      </w:r>
      <w:proofErr w:type="spellEnd"/>
      <w:r w:rsidRPr="00290D33">
        <w:rPr>
          <w:rFonts w:ascii="Times New Roman" w:hAnsi="Times New Roman"/>
          <w:sz w:val="24"/>
          <w:szCs w:val="24"/>
        </w:rPr>
        <w:t xml:space="preserve">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cân</w:t>
      </w:r>
      <w:proofErr w:type="spellEnd"/>
      <w:r>
        <w:rPr>
          <w:rFonts w:ascii="Times New Roman" w:hAnsi="Times New Roman"/>
          <w:sz w:val="24"/>
          <w:szCs w:val="24"/>
        </w:rPr>
        <w:t xml:space="preserve">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vĩ</w:t>
      </w:r>
      <w:proofErr w:type="spellEnd"/>
      <w:r>
        <w:rPr>
          <w:rFonts w:ascii="Times New Roman" w:hAnsi="Times New Roman"/>
          <w:sz w:val="24"/>
          <w:szCs w:val="24"/>
        </w:rPr>
        <w:t xml:space="preserve"> </w:t>
      </w:r>
      <w:proofErr w:type="spellStart"/>
      <w:r>
        <w:rPr>
          <w:rFonts w:ascii="Times New Roman" w:hAnsi="Times New Roman"/>
          <w:sz w:val="24"/>
          <w:szCs w:val="24"/>
        </w:rPr>
        <w:t>mô</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phủ</w:t>
      </w:r>
      <w:proofErr w:type="spellEnd"/>
      <w:r>
        <w:rPr>
          <w:rFonts w:ascii="Times New Roman" w:hAnsi="Times New Roman"/>
          <w:sz w:val="24"/>
          <w:szCs w:val="24"/>
        </w:rPr>
        <w:t xml:space="preserve"> </w:t>
      </w:r>
      <w:proofErr w:type="spellStart"/>
      <w:r>
        <w:rPr>
          <w:rFonts w:ascii="Times New Roman" w:hAnsi="Times New Roman"/>
          <w:sz w:val="24"/>
          <w:szCs w:val="24"/>
        </w:rPr>
        <w:t>bảo</w:t>
      </w:r>
      <w:proofErr w:type="spellEnd"/>
      <w:r>
        <w:rPr>
          <w:rFonts w:ascii="Times New Roman" w:hAnsi="Times New Roman"/>
          <w:sz w:val="24"/>
          <w:szCs w:val="24"/>
        </w:rPr>
        <w:t xml:space="preserve"> </w:t>
      </w:r>
      <w:proofErr w:type="spellStart"/>
      <w:r>
        <w:rPr>
          <w:rFonts w:ascii="Times New Roman" w:hAnsi="Times New Roman"/>
          <w:sz w:val="24"/>
          <w:szCs w:val="24"/>
        </w:rPr>
        <w:t>đảm</w:t>
      </w:r>
      <w:proofErr w:type="spellEnd"/>
      <w:r>
        <w:rPr>
          <w:rFonts w:ascii="Times New Roman" w:hAnsi="Times New Roman"/>
          <w:sz w:val="24"/>
          <w:szCs w:val="24"/>
        </w:rPr>
        <w:t xml:space="preserve"> </w:t>
      </w:r>
      <w:proofErr w:type="spellStart"/>
      <w:r w:rsidRPr="00290D33">
        <w:rPr>
          <w:rFonts w:ascii="Times New Roman" w:hAnsi="Times New Roman"/>
          <w:sz w:val="24"/>
          <w:szCs w:val="24"/>
        </w:rPr>
        <w:t>ổn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định</w:t>
      </w:r>
      <w:proofErr w:type="spellEnd"/>
      <w:r w:rsidRPr="00290D33">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vĩ</w:t>
      </w:r>
      <w:proofErr w:type="spellEnd"/>
      <w:r>
        <w:rPr>
          <w:rFonts w:ascii="Times New Roman" w:hAnsi="Times New Roman"/>
          <w:sz w:val="24"/>
          <w:szCs w:val="24"/>
        </w:rPr>
        <w:t xml:space="preserve"> </w:t>
      </w:r>
      <w:proofErr w:type="spellStart"/>
      <w:r>
        <w:rPr>
          <w:rFonts w:ascii="Times New Roman" w:hAnsi="Times New Roman"/>
          <w:sz w:val="24"/>
          <w:szCs w:val="24"/>
        </w:rPr>
        <w:t>mô</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cân</w:t>
      </w:r>
      <w:proofErr w:type="spellEnd"/>
      <w:r>
        <w:rPr>
          <w:rFonts w:ascii="Times New Roman" w:hAnsi="Times New Roman"/>
          <w:sz w:val="24"/>
          <w:szCs w:val="24"/>
        </w:rPr>
        <w:t xml:space="preserve">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Tuy </w:t>
      </w:r>
      <w:proofErr w:type="spellStart"/>
      <w:r>
        <w:rPr>
          <w:rFonts w:ascii="Times New Roman" w:hAnsi="Times New Roman"/>
          <w:sz w:val="24"/>
          <w:szCs w:val="24"/>
        </w:rPr>
        <w:t>nhiên</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nhìn</w:t>
      </w:r>
      <w:proofErr w:type="spellEnd"/>
      <w:r>
        <w:rPr>
          <w:rFonts w:ascii="Times New Roman" w:hAnsi="Times New Roman"/>
          <w:sz w:val="24"/>
          <w:szCs w:val="24"/>
        </w:rPr>
        <w:t xml:space="preserve"> </w:t>
      </w:r>
      <w:proofErr w:type="spellStart"/>
      <w:r>
        <w:rPr>
          <w:rFonts w:ascii="Times New Roman" w:hAnsi="Times New Roman"/>
          <w:sz w:val="24"/>
          <w:szCs w:val="24"/>
        </w:rPr>
        <w:t>chung</w:t>
      </w:r>
      <w:proofErr w:type="spellEnd"/>
      <w:r>
        <w:rPr>
          <w:rFonts w:ascii="Times New Roman" w:hAnsi="Times New Roman"/>
          <w:sz w:val="24"/>
          <w:szCs w:val="24"/>
        </w:rPr>
        <w:t xml:space="preserve"> </w:t>
      </w:r>
      <w:proofErr w:type="spellStart"/>
      <w:r>
        <w:rPr>
          <w:rFonts w:ascii="Times New Roman" w:hAnsi="Times New Roman"/>
          <w:sz w:val="24"/>
          <w:szCs w:val="24"/>
        </w:rPr>
        <w:t>vẫn</w:t>
      </w:r>
      <w:proofErr w:type="spellEnd"/>
      <w:r w:rsidRPr="00290D33">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khá</w:t>
      </w:r>
      <w:proofErr w:type="spellEnd"/>
      <w:r>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 xml:space="preserve">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trước</w:t>
      </w:r>
      <w:proofErr w:type="spellEnd"/>
      <w:r>
        <w:rPr>
          <w:rFonts w:ascii="Times New Roman" w:hAnsi="Times New Roman"/>
          <w:sz w:val="24"/>
          <w:szCs w:val="24"/>
        </w:rPr>
        <w:t xml:space="preserve"> </w:t>
      </w:r>
      <w:proofErr w:type="spellStart"/>
      <w:r>
        <w:rPr>
          <w:rFonts w:ascii="Times New Roman" w:hAnsi="Times New Roman"/>
          <w:sz w:val="24"/>
          <w:szCs w:val="24"/>
        </w:rPr>
        <w:t>đây</w:t>
      </w:r>
      <w:proofErr w:type="spellEnd"/>
      <w:r>
        <w:rPr>
          <w:rFonts w:ascii="Times New Roman" w:hAnsi="Times New Roman"/>
          <w:sz w:val="24"/>
          <w:szCs w:val="24"/>
        </w:rPr>
        <w:t xml:space="preserve">, GDP Quý 4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6,72%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cùng</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tính</w:t>
      </w:r>
      <w:proofErr w:type="spellEnd"/>
      <w:r>
        <w:rPr>
          <w:rFonts w:ascii="Times New Roman" w:hAnsi="Times New Roman"/>
          <w:sz w:val="24"/>
          <w:szCs w:val="24"/>
        </w:rPr>
        <w:t xml:space="preserve"> </w:t>
      </w:r>
      <w:proofErr w:type="spellStart"/>
      <w:r>
        <w:rPr>
          <w:rFonts w:ascii="Times New Roman" w:hAnsi="Times New Roman"/>
          <w:sz w:val="24"/>
          <w:szCs w:val="24"/>
        </w:rPr>
        <w:t>chung</w:t>
      </w:r>
      <w:proofErr w:type="spellEnd"/>
      <w:r>
        <w:rPr>
          <w:rFonts w:ascii="Times New Roman" w:hAnsi="Times New Roman"/>
          <w:sz w:val="24"/>
          <w:szCs w:val="24"/>
        </w:rPr>
        <w:t xml:space="preserve"> </w:t>
      </w:r>
      <w:proofErr w:type="spellStart"/>
      <w:r>
        <w:rPr>
          <w:rFonts w:ascii="Times New Roman" w:hAnsi="Times New Roman"/>
          <w:sz w:val="24"/>
          <w:szCs w:val="24"/>
        </w:rPr>
        <w:t>cả</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2023 GDP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5,05%,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w:t>
      </w:r>
      <w:proofErr w:type="spellStart"/>
      <w:r>
        <w:rPr>
          <w:rFonts w:ascii="Times New Roman" w:hAnsi="Times New Roman"/>
          <w:sz w:val="24"/>
          <w:szCs w:val="24"/>
        </w:rPr>
        <w:t>mức</w:t>
      </w:r>
      <w:proofErr w:type="spellEnd"/>
      <w:r>
        <w:rPr>
          <w:rFonts w:ascii="Times New Roman" w:hAnsi="Times New Roman"/>
          <w:sz w:val="24"/>
          <w:szCs w:val="24"/>
        </w:rPr>
        <w:t xml:space="preserve"> 2,87% </w:t>
      </w:r>
      <w:proofErr w:type="spellStart"/>
      <w:r>
        <w:rPr>
          <w:rFonts w:ascii="Times New Roman" w:hAnsi="Times New Roman"/>
          <w:sz w:val="24"/>
          <w:szCs w:val="24"/>
        </w:rPr>
        <w:t>và</w:t>
      </w:r>
      <w:proofErr w:type="spellEnd"/>
      <w:r>
        <w:rPr>
          <w:rFonts w:ascii="Times New Roman" w:hAnsi="Times New Roman"/>
          <w:sz w:val="24"/>
          <w:szCs w:val="24"/>
        </w:rPr>
        <w:t xml:space="preserve"> 2,55%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2020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2021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cả</w:t>
      </w:r>
      <w:proofErr w:type="spellEnd"/>
      <w:r>
        <w:rPr>
          <w:rFonts w:ascii="Times New Roman" w:hAnsi="Times New Roman"/>
          <w:sz w:val="24"/>
          <w:szCs w:val="24"/>
        </w:rPr>
        <w:t xml:space="preserve"> </w:t>
      </w:r>
      <w:proofErr w:type="spellStart"/>
      <w:r>
        <w:rPr>
          <w:rFonts w:ascii="Times New Roman" w:hAnsi="Times New Roman"/>
          <w:sz w:val="24"/>
          <w:szCs w:val="24"/>
        </w:rPr>
        <w:t>giai</w:t>
      </w:r>
      <w:proofErr w:type="spellEnd"/>
      <w:r>
        <w:rPr>
          <w:rFonts w:ascii="Times New Roman" w:hAnsi="Times New Roman"/>
          <w:sz w:val="24"/>
          <w:szCs w:val="24"/>
        </w:rPr>
        <w:t xml:space="preserve"> </w:t>
      </w:r>
      <w:proofErr w:type="spellStart"/>
      <w:r>
        <w:rPr>
          <w:rFonts w:ascii="Times New Roman" w:hAnsi="Times New Roman"/>
          <w:sz w:val="24"/>
          <w:szCs w:val="24"/>
        </w:rPr>
        <w:t>đoạn</w:t>
      </w:r>
      <w:proofErr w:type="spellEnd"/>
      <w:r>
        <w:rPr>
          <w:rFonts w:ascii="Times New Roman" w:hAnsi="Times New Roman"/>
          <w:sz w:val="24"/>
          <w:szCs w:val="24"/>
        </w:rPr>
        <w:t xml:space="preserve"> 2011-2023.</w:t>
      </w:r>
      <w:r w:rsidRPr="006137E1">
        <w:rPr>
          <w:rFonts w:ascii="Times New Roman" w:hAnsi="Times New Roman"/>
          <w:color w:val="FF0000"/>
          <w:sz w:val="24"/>
          <w:szCs w:val="24"/>
        </w:rPr>
        <w:t xml:space="preserve"> </w:t>
      </w:r>
      <w:r w:rsidRPr="00DE67B3">
        <w:rPr>
          <w:rFonts w:ascii="Times New Roman" w:hAnsi="Times New Roman"/>
          <w:color w:val="000000" w:themeColor="text1"/>
          <w:sz w:val="24"/>
          <w:szCs w:val="24"/>
        </w:rPr>
        <w:t xml:space="preserve">Trong </w:t>
      </w:r>
      <w:proofErr w:type="spellStart"/>
      <w:r w:rsidRPr="00DE67B3">
        <w:rPr>
          <w:rFonts w:ascii="Times New Roman" w:hAnsi="Times New Roman"/>
          <w:color w:val="000000" w:themeColor="text1"/>
          <w:sz w:val="24"/>
          <w:szCs w:val="24"/>
        </w:rPr>
        <w:t>mức</w:t>
      </w:r>
      <w:proofErr w:type="spellEnd"/>
      <w:r w:rsidRPr="00DE67B3">
        <w:rPr>
          <w:rFonts w:ascii="Times New Roman" w:hAnsi="Times New Roman"/>
          <w:color w:val="000000" w:themeColor="text1"/>
          <w:sz w:val="24"/>
          <w:szCs w:val="24"/>
        </w:rPr>
        <w:t xml:space="preserve"> </w:t>
      </w:r>
      <w:proofErr w:type="spellStart"/>
      <w:r w:rsidRPr="00DE67B3">
        <w:rPr>
          <w:rFonts w:ascii="Times New Roman" w:hAnsi="Times New Roman"/>
          <w:color w:val="000000" w:themeColor="text1"/>
          <w:sz w:val="24"/>
          <w:szCs w:val="24"/>
        </w:rPr>
        <w:t>tăng</w:t>
      </w:r>
      <w:proofErr w:type="spellEnd"/>
      <w:r w:rsidRPr="00DE67B3">
        <w:rPr>
          <w:rFonts w:ascii="Times New Roman" w:hAnsi="Times New Roman"/>
          <w:color w:val="000000" w:themeColor="text1"/>
          <w:sz w:val="24"/>
          <w:szCs w:val="24"/>
        </w:rPr>
        <w:t xml:space="preserve"> </w:t>
      </w:r>
      <w:proofErr w:type="spellStart"/>
      <w:r w:rsidRPr="00DE67B3">
        <w:rPr>
          <w:rFonts w:ascii="Times New Roman" w:hAnsi="Times New Roman"/>
          <w:color w:val="000000" w:themeColor="text1"/>
          <w:sz w:val="24"/>
          <w:szCs w:val="24"/>
        </w:rPr>
        <w:t>tổng</w:t>
      </w:r>
      <w:proofErr w:type="spellEnd"/>
      <w:r w:rsidRPr="00DE67B3">
        <w:rPr>
          <w:rFonts w:ascii="Times New Roman" w:hAnsi="Times New Roman"/>
          <w:color w:val="000000" w:themeColor="text1"/>
          <w:sz w:val="24"/>
          <w:szCs w:val="24"/>
        </w:rPr>
        <w:t xml:space="preserve"> </w:t>
      </w:r>
      <w:proofErr w:type="spellStart"/>
      <w:r w:rsidRPr="00DE67B3">
        <w:rPr>
          <w:rFonts w:ascii="Times New Roman" w:hAnsi="Times New Roman"/>
          <w:color w:val="000000" w:themeColor="text1"/>
          <w:sz w:val="24"/>
          <w:szCs w:val="24"/>
        </w:rPr>
        <w:t>giá</w:t>
      </w:r>
      <w:proofErr w:type="spellEnd"/>
      <w:r w:rsidRPr="00DE67B3">
        <w:rPr>
          <w:rFonts w:ascii="Times New Roman" w:hAnsi="Times New Roman"/>
          <w:color w:val="000000" w:themeColor="text1"/>
          <w:sz w:val="24"/>
          <w:szCs w:val="24"/>
        </w:rPr>
        <w:t xml:space="preserve"> </w:t>
      </w:r>
      <w:proofErr w:type="spellStart"/>
      <w:r w:rsidRPr="00DE67B3">
        <w:rPr>
          <w:rFonts w:ascii="Times New Roman" w:hAnsi="Times New Roman"/>
          <w:color w:val="000000" w:themeColor="text1"/>
          <w:sz w:val="24"/>
          <w:szCs w:val="24"/>
        </w:rPr>
        <w:t>trị</w:t>
      </w:r>
      <w:proofErr w:type="spellEnd"/>
      <w:r w:rsidRPr="00DE67B3">
        <w:rPr>
          <w:rFonts w:ascii="Times New Roman" w:hAnsi="Times New Roman"/>
          <w:color w:val="000000" w:themeColor="text1"/>
          <w:sz w:val="24"/>
          <w:szCs w:val="24"/>
        </w:rPr>
        <w:t xml:space="preserve"> </w:t>
      </w:r>
      <w:proofErr w:type="spellStart"/>
      <w:r w:rsidRPr="00DE67B3">
        <w:rPr>
          <w:rFonts w:ascii="Times New Roman" w:hAnsi="Times New Roman"/>
          <w:color w:val="000000" w:themeColor="text1"/>
          <w:sz w:val="24"/>
          <w:szCs w:val="24"/>
        </w:rPr>
        <w:t>tăng</w:t>
      </w:r>
      <w:proofErr w:type="spellEnd"/>
      <w:r w:rsidRPr="00DE67B3">
        <w:rPr>
          <w:rFonts w:ascii="Times New Roman" w:hAnsi="Times New Roman"/>
          <w:color w:val="000000" w:themeColor="text1"/>
          <w:sz w:val="24"/>
          <w:szCs w:val="24"/>
        </w:rPr>
        <w:t xml:space="preserve"> </w:t>
      </w:r>
      <w:proofErr w:type="spellStart"/>
      <w:r w:rsidRPr="00DE67B3">
        <w:rPr>
          <w:rFonts w:ascii="Times New Roman" w:hAnsi="Times New Roman"/>
          <w:color w:val="000000" w:themeColor="text1"/>
          <w:sz w:val="24"/>
          <w:szCs w:val="24"/>
        </w:rPr>
        <w:t>thêm</w:t>
      </w:r>
      <w:proofErr w:type="spellEnd"/>
      <w:r w:rsidRPr="00DE67B3">
        <w:rPr>
          <w:rFonts w:ascii="Times New Roman" w:hAnsi="Times New Roman"/>
          <w:color w:val="000000" w:themeColor="text1"/>
          <w:sz w:val="24"/>
          <w:szCs w:val="24"/>
        </w:rPr>
        <w:t xml:space="preserve"> </w:t>
      </w:r>
      <w:proofErr w:type="spellStart"/>
      <w:r w:rsidRPr="00DE67B3">
        <w:rPr>
          <w:rFonts w:ascii="Times New Roman" w:hAnsi="Times New Roman"/>
          <w:color w:val="000000" w:themeColor="text1"/>
          <w:sz w:val="24"/>
          <w:szCs w:val="24"/>
        </w:rPr>
        <w:t>toàn</w:t>
      </w:r>
      <w:proofErr w:type="spellEnd"/>
      <w:r w:rsidRPr="00DE67B3">
        <w:rPr>
          <w:rFonts w:ascii="Times New Roman" w:hAnsi="Times New Roman"/>
          <w:color w:val="000000" w:themeColor="text1"/>
          <w:sz w:val="24"/>
          <w:szCs w:val="24"/>
        </w:rPr>
        <w:t xml:space="preserve"> </w:t>
      </w:r>
      <w:proofErr w:type="spellStart"/>
      <w:r w:rsidRPr="00DE67B3">
        <w:rPr>
          <w:rFonts w:ascii="Times New Roman" w:hAnsi="Times New Roman"/>
          <w:color w:val="000000" w:themeColor="text1"/>
          <w:sz w:val="24"/>
          <w:szCs w:val="24"/>
        </w:rPr>
        <w:t>nền</w:t>
      </w:r>
      <w:proofErr w:type="spellEnd"/>
      <w:r w:rsidRPr="00DE67B3">
        <w:rPr>
          <w:rFonts w:ascii="Times New Roman" w:hAnsi="Times New Roman"/>
          <w:color w:val="000000" w:themeColor="text1"/>
          <w:sz w:val="24"/>
          <w:szCs w:val="24"/>
        </w:rPr>
        <w:t xml:space="preserve"> </w:t>
      </w:r>
      <w:proofErr w:type="spellStart"/>
      <w:r w:rsidRPr="00DE67B3">
        <w:rPr>
          <w:rFonts w:ascii="Times New Roman" w:hAnsi="Times New Roman"/>
          <w:color w:val="000000" w:themeColor="text1"/>
          <w:sz w:val="24"/>
          <w:szCs w:val="24"/>
        </w:rPr>
        <w:t>kinh</w:t>
      </w:r>
      <w:proofErr w:type="spellEnd"/>
      <w:r w:rsidRPr="00DE67B3">
        <w:rPr>
          <w:rFonts w:ascii="Times New Roman" w:hAnsi="Times New Roman"/>
          <w:color w:val="000000" w:themeColor="text1"/>
          <w:sz w:val="24"/>
          <w:szCs w:val="24"/>
        </w:rPr>
        <w:t xml:space="preserve"> </w:t>
      </w:r>
      <w:proofErr w:type="spellStart"/>
      <w:r w:rsidRPr="00DE67B3">
        <w:rPr>
          <w:rFonts w:ascii="Times New Roman" w:hAnsi="Times New Roman"/>
          <w:color w:val="000000" w:themeColor="text1"/>
          <w:sz w:val="24"/>
          <w:szCs w:val="24"/>
        </w:rPr>
        <w:t>tế</w:t>
      </w:r>
      <w:proofErr w:type="spellEnd"/>
      <w:r w:rsidRPr="00DE67B3">
        <w:rPr>
          <w:rFonts w:ascii="Times New Roman" w:hAnsi="Times New Roman"/>
          <w:color w:val="000000" w:themeColor="text1"/>
          <w:sz w:val="24"/>
          <w:szCs w:val="24"/>
        </w:rPr>
        <w:t xml:space="preserve">, </w:t>
      </w:r>
      <w:proofErr w:type="spellStart"/>
      <w:r w:rsidRPr="00DE67B3">
        <w:rPr>
          <w:rFonts w:ascii="Times New Roman" w:hAnsi="Times New Roman"/>
          <w:color w:val="000000" w:themeColor="text1"/>
          <w:sz w:val="24"/>
          <w:szCs w:val="24"/>
        </w:rPr>
        <w:t>khu</w:t>
      </w:r>
      <w:proofErr w:type="spellEnd"/>
      <w:r w:rsidRPr="00DE67B3">
        <w:rPr>
          <w:rFonts w:ascii="Times New Roman" w:hAnsi="Times New Roman"/>
          <w:color w:val="000000" w:themeColor="text1"/>
          <w:sz w:val="24"/>
          <w:szCs w:val="24"/>
        </w:rPr>
        <w:t xml:space="preserve"> </w:t>
      </w:r>
      <w:proofErr w:type="spellStart"/>
      <w:r w:rsidRPr="00DE67B3">
        <w:rPr>
          <w:rFonts w:ascii="Times New Roman" w:hAnsi="Times New Roman"/>
          <w:color w:val="000000" w:themeColor="text1"/>
          <w:sz w:val="24"/>
          <w:szCs w:val="24"/>
        </w:rPr>
        <w:t>vực</w:t>
      </w:r>
      <w:proofErr w:type="spellEnd"/>
      <w:r w:rsidRPr="00DE67B3">
        <w:rPr>
          <w:rFonts w:ascii="Times New Roman" w:hAnsi="Times New Roman"/>
          <w:color w:val="000000" w:themeColor="text1"/>
          <w:sz w:val="24"/>
          <w:szCs w:val="24"/>
        </w:rPr>
        <w:t xml:space="preserve"> </w:t>
      </w:r>
      <w:proofErr w:type="spellStart"/>
      <w:r w:rsidRPr="00DE67B3">
        <w:rPr>
          <w:rFonts w:ascii="Times New Roman" w:hAnsi="Times New Roman"/>
          <w:color w:val="000000" w:themeColor="text1"/>
          <w:sz w:val="24"/>
          <w:szCs w:val="24"/>
        </w:rPr>
        <w:t>nông</w:t>
      </w:r>
      <w:proofErr w:type="spellEnd"/>
      <w:r w:rsidRPr="00DE67B3">
        <w:rPr>
          <w:rFonts w:ascii="Times New Roman" w:hAnsi="Times New Roman"/>
          <w:color w:val="000000" w:themeColor="text1"/>
          <w:sz w:val="24"/>
          <w:szCs w:val="24"/>
        </w:rPr>
        <w:t xml:space="preserve">, </w:t>
      </w:r>
      <w:proofErr w:type="spellStart"/>
      <w:r w:rsidRPr="00DE67B3">
        <w:rPr>
          <w:rFonts w:ascii="Times New Roman" w:hAnsi="Times New Roman"/>
          <w:color w:val="000000" w:themeColor="text1"/>
          <w:sz w:val="24"/>
          <w:szCs w:val="24"/>
        </w:rPr>
        <w:t>lâm</w:t>
      </w:r>
      <w:proofErr w:type="spellEnd"/>
      <w:r w:rsidRPr="00DE67B3">
        <w:rPr>
          <w:rFonts w:ascii="Times New Roman" w:hAnsi="Times New Roman"/>
          <w:color w:val="000000" w:themeColor="text1"/>
          <w:sz w:val="24"/>
          <w:szCs w:val="24"/>
        </w:rPr>
        <w:t xml:space="preserve"> </w:t>
      </w:r>
      <w:proofErr w:type="spellStart"/>
      <w:r w:rsidRPr="00DE67B3">
        <w:rPr>
          <w:rFonts w:ascii="Times New Roman" w:hAnsi="Times New Roman"/>
          <w:color w:val="000000" w:themeColor="text1"/>
          <w:sz w:val="24"/>
          <w:szCs w:val="24"/>
        </w:rPr>
        <w:lastRenderedPageBreak/>
        <w:t>nghiệp</w:t>
      </w:r>
      <w:proofErr w:type="spellEnd"/>
      <w:r w:rsidRPr="00DE67B3">
        <w:rPr>
          <w:rFonts w:ascii="Times New Roman" w:hAnsi="Times New Roman"/>
          <w:color w:val="000000" w:themeColor="text1"/>
          <w:sz w:val="24"/>
          <w:szCs w:val="24"/>
        </w:rPr>
        <w:t xml:space="preserve"> </w:t>
      </w:r>
      <w:proofErr w:type="spellStart"/>
      <w:r w:rsidRPr="00DE67B3">
        <w:rPr>
          <w:rFonts w:ascii="Times New Roman" w:hAnsi="Times New Roman"/>
          <w:color w:val="000000" w:themeColor="text1"/>
          <w:sz w:val="24"/>
          <w:szCs w:val="24"/>
        </w:rPr>
        <w:t>và</w:t>
      </w:r>
      <w:proofErr w:type="spellEnd"/>
      <w:r w:rsidRPr="00DE67B3">
        <w:rPr>
          <w:rFonts w:ascii="Times New Roman" w:hAnsi="Times New Roman"/>
          <w:color w:val="000000" w:themeColor="text1"/>
          <w:sz w:val="24"/>
          <w:szCs w:val="24"/>
        </w:rPr>
        <w:t xml:space="preserve"> </w:t>
      </w:r>
      <w:proofErr w:type="spellStart"/>
      <w:r w:rsidRPr="00DE67B3">
        <w:rPr>
          <w:rFonts w:ascii="Times New Roman" w:hAnsi="Times New Roman"/>
          <w:color w:val="000000" w:themeColor="text1"/>
          <w:sz w:val="24"/>
          <w:szCs w:val="24"/>
        </w:rPr>
        <w:t>thủy</w:t>
      </w:r>
      <w:proofErr w:type="spellEnd"/>
      <w:r w:rsidRPr="00DE67B3">
        <w:rPr>
          <w:rFonts w:ascii="Times New Roman" w:hAnsi="Times New Roman"/>
          <w:color w:val="000000" w:themeColor="text1"/>
          <w:sz w:val="24"/>
          <w:szCs w:val="24"/>
        </w:rPr>
        <w:t xml:space="preserve"> </w:t>
      </w:r>
      <w:proofErr w:type="spellStart"/>
      <w:r w:rsidRPr="00DE67B3">
        <w:rPr>
          <w:rFonts w:ascii="Times New Roman" w:hAnsi="Times New Roman"/>
          <w:color w:val="000000" w:themeColor="text1"/>
          <w:sz w:val="24"/>
          <w:szCs w:val="24"/>
        </w:rPr>
        <w:t>sản</w:t>
      </w:r>
      <w:proofErr w:type="spellEnd"/>
      <w:r w:rsidRPr="00DE67B3">
        <w:rPr>
          <w:rFonts w:ascii="Times New Roman" w:hAnsi="Times New Roman"/>
          <w:color w:val="000000" w:themeColor="text1"/>
          <w:sz w:val="24"/>
          <w:szCs w:val="24"/>
        </w:rPr>
        <w:t xml:space="preserve"> </w:t>
      </w:r>
      <w:proofErr w:type="spellStart"/>
      <w:r w:rsidRPr="00DE67B3">
        <w:rPr>
          <w:rFonts w:ascii="Times New Roman" w:hAnsi="Times New Roman"/>
          <w:color w:val="000000" w:themeColor="text1"/>
          <w:sz w:val="24"/>
          <w:szCs w:val="24"/>
        </w:rPr>
        <w:t>tăng</w:t>
      </w:r>
      <w:proofErr w:type="spellEnd"/>
      <w:r w:rsidRPr="00DE67B3">
        <w:rPr>
          <w:rFonts w:ascii="Times New Roman" w:hAnsi="Times New Roman"/>
          <w:color w:val="000000" w:themeColor="text1"/>
          <w:sz w:val="24"/>
          <w:szCs w:val="24"/>
        </w:rPr>
        <w:t xml:space="preserve"> 3,83%, </w:t>
      </w:r>
      <w:proofErr w:type="spellStart"/>
      <w:r w:rsidRPr="00DE67B3">
        <w:rPr>
          <w:rFonts w:ascii="Times New Roman" w:hAnsi="Times New Roman"/>
          <w:color w:val="000000" w:themeColor="text1"/>
          <w:sz w:val="24"/>
          <w:szCs w:val="24"/>
        </w:rPr>
        <w:t>đóng</w:t>
      </w:r>
      <w:proofErr w:type="spellEnd"/>
      <w:r w:rsidRPr="00DE67B3">
        <w:rPr>
          <w:rFonts w:ascii="Times New Roman" w:hAnsi="Times New Roman"/>
          <w:color w:val="000000" w:themeColor="text1"/>
          <w:sz w:val="24"/>
          <w:szCs w:val="24"/>
        </w:rPr>
        <w:t xml:space="preserve"> </w:t>
      </w:r>
      <w:proofErr w:type="spellStart"/>
      <w:r w:rsidRPr="00DE67B3">
        <w:rPr>
          <w:rFonts w:ascii="Times New Roman" w:hAnsi="Times New Roman"/>
          <w:color w:val="000000" w:themeColor="text1"/>
          <w:sz w:val="24"/>
          <w:szCs w:val="24"/>
        </w:rPr>
        <w:t>góp</w:t>
      </w:r>
      <w:proofErr w:type="spellEnd"/>
      <w:r w:rsidRPr="00DE67B3">
        <w:rPr>
          <w:rFonts w:ascii="Times New Roman" w:hAnsi="Times New Roman"/>
          <w:color w:val="000000" w:themeColor="text1"/>
          <w:sz w:val="24"/>
          <w:szCs w:val="24"/>
        </w:rPr>
        <w:t xml:space="preserve"> 8,84%; </w:t>
      </w:r>
      <w:proofErr w:type="spellStart"/>
      <w:r w:rsidRPr="00DE67B3">
        <w:rPr>
          <w:rFonts w:ascii="Times New Roman" w:hAnsi="Times New Roman"/>
          <w:color w:val="000000" w:themeColor="text1"/>
          <w:sz w:val="24"/>
          <w:szCs w:val="24"/>
        </w:rPr>
        <w:t>khu</w:t>
      </w:r>
      <w:proofErr w:type="spellEnd"/>
      <w:r w:rsidRPr="00DE67B3">
        <w:rPr>
          <w:rFonts w:ascii="Times New Roman" w:hAnsi="Times New Roman"/>
          <w:color w:val="000000" w:themeColor="text1"/>
          <w:sz w:val="24"/>
          <w:szCs w:val="24"/>
        </w:rPr>
        <w:t xml:space="preserve"> </w:t>
      </w:r>
      <w:proofErr w:type="spellStart"/>
      <w:r w:rsidRPr="00DE67B3">
        <w:rPr>
          <w:rFonts w:ascii="Times New Roman" w:hAnsi="Times New Roman"/>
          <w:color w:val="000000" w:themeColor="text1"/>
          <w:sz w:val="24"/>
          <w:szCs w:val="24"/>
        </w:rPr>
        <w:t>vực</w:t>
      </w:r>
      <w:proofErr w:type="spellEnd"/>
      <w:r w:rsidRPr="00DE67B3">
        <w:rPr>
          <w:rFonts w:ascii="Times New Roman" w:hAnsi="Times New Roman"/>
          <w:color w:val="000000" w:themeColor="text1"/>
          <w:sz w:val="24"/>
          <w:szCs w:val="24"/>
        </w:rPr>
        <w:t xml:space="preserve"> </w:t>
      </w:r>
      <w:proofErr w:type="spellStart"/>
      <w:r w:rsidRPr="00DE67B3">
        <w:rPr>
          <w:rFonts w:ascii="Times New Roman" w:hAnsi="Times New Roman"/>
          <w:color w:val="000000" w:themeColor="text1"/>
          <w:sz w:val="24"/>
          <w:szCs w:val="24"/>
        </w:rPr>
        <w:t>công</w:t>
      </w:r>
      <w:proofErr w:type="spellEnd"/>
      <w:r w:rsidRPr="00DE67B3">
        <w:rPr>
          <w:rFonts w:ascii="Times New Roman" w:hAnsi="Times New Roman"/>
          <w:color w:val="000000" w:themeColor="text1"/>
          <w:sz w:val="24"/>
          <w:szCs w:val="24"/>
        </w:rPr>
        <w:t xml:space="preserve"> </w:t>
      </w:r>
      <w:proofErr w:type="spellStart"/>
      <w:r w:rsidRPr="00DE67B3">
        <w:rPr>
          <w:rFonts w:ascii="Times New Roman" w:hAnsi="Times New Roman"/>
          <w:color w:val="000000" w:themeColor="text1"/>
          <w:sz w:val="24"/>
          <w:szCs w:val="24"/>
        </w:rPr>
        <w:t>nghiệp</w:t>
      </w:r>
      <w:proofErr w:type="spellEnd"/>
      <w:r w:rsidRPr="00DE67B3">
        <w:rPr>
          <w:rFonts w:ascii="Times New Roman" w:hAnsi="Times New Roman"/>
          <w:color w:val="000000" w:themeColor="text1"/>
          <w:sz w:val="24"/>
          <w:szCs w:val="24"/>
        </w:rPr>
        <w:t xml:space="preserve"> </w:t>
      </w:r>
      <w:proofErr w:type="spellStart"/>
      <w:r w:rsidRPr="00DE67B3">
        <w:rPr>
          <w:rFonts w:ascii="Times New Roman" w:hAnsi="Times New Roman"/>
          <w:color w:val="000000" w:themeColor="text1"/>
          <w:sz w:val="24"/>
          <w:szCs w:val="24"/>
        </w:rPr>
        <w:t>và</w:t>
      </w:r>
      <w:proofErr w:type="spellEnd"/>
      <w:r w:rsidRPr="00DE67B3">
        <w:rPr>
          <w:rFonts w:ascii="Times New Roman" w:hAnsi="Times New Roman"/>
          <w:color w:val="000000" w:themeColor="text1"/>
          <w:sz w:val="24"/>
          <w:szCs w:val="24"/>
        </w:rPr>
        <w:t xml:space="preserve"> </w:t>
      </w:r>
      <w:proofErr w:type="spellStart"/>
      <w:r w:rsidRPr="00DE67B3">
        <w:rPr>
          <w:rFonts w:ascii="Times New Roman" w:hAnsi="Times New Roman"/>
          <w:color w:val="000000" w:themeColor="text1"/>
          <w:sz w:val="24"/>
          <w:szCs w:val="24"/>
        </w:rPr>
        <w:t>xây</w:t>
      </w:r>
      <w:proofErr w:type="spellEnd"/>
      <w:r w:rsidRPr="00DE67B3">
        <w:rPr>
          <w:rFonts w:ascii="Times New Roman" w:hAnsi="Times New Roman"/>
          <w:color w:val="000000" w:themeColor="text1"/>
          <w:sz w:val="24"/>
          <w:szCs w:val="24"/>
        </w:rPr>
        <w:t xml:space="preserve"> </w:t>
      </w:r>
      <w:proofErr w:type="spellStart"/>
      <w:r w:rsidRPr="00DE67B3">
        <w:rPr>
          <w:rFonts w:ascii="Times New Roman" w:hAnsi="Times New Roman"/>
          <w:color w:val="000000" w:themeColor="text1"/>
          <w:sz w:val="24"/>
          <w:szCs w:val="24"/>
        </w:rPr>
        <w:t>dựng</w:t>
      </w:r>
      <w:proofErr w:type="spellEnd"/>
      <w:r w:rsidRPr="00DE67B3">
        <w:rPr>
          <w:rFonts w:ascii="Times New Roman" w:hAnsi="Times New Roman"/>
          <w:color w:val="000000" w:themeColor="text1"/>
          <w:sz w:val="24"/>
          <w:szCs w:val="24"/>
        </w:rPr>
        <w:t xml:space="preserve"> </w:t>
      </w:r>
      <w:proofErr w:type="spellStart"/>
      <w:r w:rsidRPr="00DE67B3">
        <w:rPr>
          <w:rFonts w:ascii="Times New Roman" w:hAnsi="Times New Roman"/>
          <w:color w:val="000000" w:themeColor="text1"/>
          <w:sz w:val="24"/>
          <w:szCs w:val="24"/>
        </w:rPr>
        <w:t>tăng</w:t>
      </w:r>
      <w:proofErr w:type="spellEnd"/>
      <w:r w:rsidRPr="00DE67B3">
        <w:rPr>
          <w:rFonts w:ascii="Times New Roman" w:hAnsi="Times New Roman"/>
          <w:color w:val="000000" w:themeColor="text1"/>
          <w:sz w:val="24"/>
          <w:szCs w:val="24"/>
        </w:rPr>
        <w:t xml:space="preserve"> 3,74%, </w:t>
      </w:r>
      <w:proofErr w:type="spellStart"/>
      <w:r w:rsidRPr="00DE67B3">
        <w:rPr>
          <w:rFonts w:ascii="Times New Roman" w:hAnsi="Times New Roman"/>
          <w:color w:val="000000" w:themeColor="text1"/>
          <w:sz w:val="24"/>
          <w:szCs w:val="24"/>
        </w:rPr>
        <w:t>đóng</w:t>
      </w:r>
      <w:proofErr w:type="spellEnd"/>
      <w:r w:rsidRPr="00DE67B3">
        <w:rPr>
          <w:rFonts w:ascii="Times New Roman" w:hAnsi="Times New Roman"/>
          <w:color w:val="000000" w:themeColor="text1"/>
          <w:sz w:val="24"/>
          <w:szCs w:val="24"/>
        </w:rPr>
        <w:t xml:space="preserve"> </w:t>
      </w:r>
      <w:proofErr w:type="spellStart"/>
      <w:r w:rsidRPr="00DE67B3">
        <w:rPr>
          <w:rFonts w:ascii="Times New Roman" w:hAnsi="Times New Roman"/>
          <w:color w:val="000000" w:themeColor="text1"/>
          <w:sz w:val="24"/>
          <w:szCs w:val="24"/>
        </w:rPr>
        <w:t>góp</w:t>
      </w:r>
      <w:proofErr w:type="spellEnd"/>
      <w:r w:rsidRPr="00DE67B3">
        <w:rPr>
          <w:rFonts w:ascii="Times New Roman" w:hAnsi="Times New Roman"/>
          <w:color w:val="000000" w:themeColor="text1"/>
          <w:sz w:val="24"/>
          <w:szCs w:val="24"/>
        </w:rPr>
        <w:t xml:space="preserve"> 28,87%; </w:t>
      </w:r>
      <w:proofErr w:type="spellStart"/>
      <w:r w:rsidRPr="00DE67B3">
        <w:rPr>
          <w:rFonts w:ascii="Times New Roman" w:hAnsi="Times New Roman"/>
          <w:color w:val="000000" w:themeColor="text1"/>
          <w:sz w:val="24"/>
          <w:szCs w:val="24"/>
        </w:rPr>
        <w:t>khu</w:t>
      </w:r>
      <w:proofErr w:type="spellEnd"/>
      <w:r w:rsidRPr="00DE67B3">
        <w:rPr>
          <w:rFonts w:ascii="Times New Roman" w:hAnsi="Times New Roman"/>
          <w:color w:val="000000" w:themeColor="text1"/>
          <w:sz w:val="24"/>
          <w:szCs w:val="24"/>
        </w:rPr>
        <w:t xml:space="preserve"> </w:t>
      </w:r>
      <w:proofErr w:type="spellStart"/>
      <w:r w:rsidRPr="00DE67B3">
        <w:rPr>
          <w:rFonts w:ascii="Times New Roman" w:hAnsi="Times New Roman"/>
          <w:color w:val="000000" w:themeColor="text1"/>
          <w:sz w:val="24"/>
          <w:szCs w:val="24"/>
        </w:rPr>
        <w:t>vực</w:t>
      </w:r>
      <w:proofErr w:type="spellEnd"/>
      <w:r w:rsidRPr="00DE67B3">
        <w:rPr>
          <w:rFonts w:ascii="Times New Roman" w:hAnsi="Times New Roman"/>
          <w:color w:val="000000" w:themeColor="text1"/>
          <w:sz w:val="24"/>
          <w:szCs w:val="24"/>
        </w:rPr>
        <w:t xml:space="preserve"> </w:t>
      </w:r>
      <w:proofErr w:type="spellStart"/>
      <w:r w:rsidRPr="00DE67B3">
        <w:rPr>
          <w:rFonts w:ascii="Times New Roman" w:hAnsi="Times New Roman"/>
          <w:color w:val="000000" w:themeColor="text1"/>
          <w:sz w:val="24"/>
          <w:szCs w:val="24"/>
        </w:rPr>
        <w:t>dịch</w:t>
      </w:r>
      <w:proofErr w:type="spellEnd"/>
      <w:r w:rsidRPr="00DE67B3">
        <w:rPr>
          <w:rFonts w:ascii="Times New Roman" w:hAnsi="Times New Roman"/>
          <w:color w:val="000000" w:themeColor="text1"/>
          <w:sz w:val="24"/>
          <w:szCs w:val="24"/>
        </w:rPr>
        <w:t xml:space="preserve"> </w:t>
      </w:r>
      <w:proofErr w:type="spellStart"/>
      <w:r w:rsidRPr="00DE67B3">
        <w:rPr>
          <w:rFonts w:ascii="Times New Roman" w:hAnsi="Times New Roman"/>
          <w:color w:val="000000" w:themeColor="text1"/>
          <w:sz w:val="24"/>
          <w:szCs w:val="24"/>
        </w:rPr>
        <w:t>vụ</w:t>
      </w:r>
      <w:proofErr w:type="spellEnd"/>
      <w:r w:rsidRPr="00DE67B3">
        <w:rPr>
          <w:rFonts w:ascii="Times New Roman" w:hAnsi="Times New Roman"/>
          <w:color w:val="000000" w:themeColor="text1"/>
          <w:sz w:val="24"/>
          <w:szCs w:val="24"/>
        </w:rPr>
        <w:t xml:space="preserve"> </w:t>
      </w:r>
      <w:proofErr w:type="spellStart"/>
      <w:r w:rsidRPr="00DE67B3">
        <w:rPr>
          <w:rFonts w:ascii="Times New Roman" w:hAnsi="Times New Roman"/>
          <w:color w:val="000000" w:themeColor="text1"/>
          <w:sz w:val="24"/>
          <w:szCs w:val="24"/>
        </w:rPr>
        <w:t>tăng</w:t>
      </w:r>
      <w:proofErr w:type="spellEnd"/>
      <w:r w:rsidRPr="00DE67B3">
        <w:rPr>
          <w:rFonts w:ascii="Times New Roman" w:hAnsi="Times New Roman"/>
          <w:color w:val="000000" w:themeColor="text1"/>
          <w:sz w:val="24"/>
          <w:szCs w:val="24"/>
        </w:rPr>
        <w:t xml:space="preserve"> 6,82%, </w:t>
      </w:r>
      <w:proofErr w:type="spellStart"/>
      <w:r w:rsidRPr="00DE67B3">
        <w:rPr>
          <w:rFonts w:ascii="Times New Roman" w:hAnsi="Times New Roman"/>
          <w:color w:val="000000" w:themeColor="text1"/>
          <w:sz w:val="24"/>
          <w:szCs w:val="24"/>
        </w:rPr>
        <w:t>đóng</w:t>
      </w:r>
      <w:proofErr w:type="spellEnd"/>
      <w:r w:rsidRPr="00DE67B3">
        <w:rPr>
          <w:rFonts w:ascii="Times New Roman" w:hAnsi="Times New Roman"/>
          <w:color w:val="000000" w:themeColor="text1"/>
          <w:sz w:val="24"/>
          <w:szCs w:val="24"/>
        </w:rPr>
        <w:t xml:space="preserve"> </w:t>
      </w:r>
      <w:proofErr w:type="spellStart"/>
      <w:r w:rsidRPr="00DE67B3">
        <w:rPr>
          <w:rFonts w:ascii="Times New Roman" w:hAnsi="Times New Roman"/>
          <w:color w:val="000000" w:themeColor="text1"/>
          <w:sz w:val="24"/>
          <w:szCs w:val="24"/>
        </w:rPr>
        <w:t>góp</w:t>
      </w:r>
      <w:proofErr w:type="spellEnd"/>
      <w:r w:rsidRPr="00DE67B3">
        <w:rPr>
          <w:rFonts w:ascii="Times New Roman" w:hAnsi="Times New Roman"/>
          <w:color w:val="000000" w:themeColor="text1"/>
          <w:sz w:val="24"/>
          <w:szCs w:val="24"/>
        </w:rPr>
        <w:t xml:space="preserve"> 62,29%</w:t>
      </w:r>
      <w:r w:rsidRPr="00AB1DB1">
        <w:rPr>
          <w:rFonts w:ascii="Times New Roman" w:hAnsi="Times New Roman"/>
          <w:color w:val="000000" w:themeColor="text1"/>
          <w:sz w:val="24"/>
          <w:szCs w:val="24"/>
        </w:rPr>
        <w:t xml:space="preserve">. </w:t>
      </w:r>
    </w:p>
    <w:p w14:paraId="25CBE633" w14:textId="77777777" w:rsidR="006F7C5E" w:rsidRPr="006137E1" w:rsidRDefault="006F7C5E" w:rsidP="006F7C5E">
      <w:pPr>
        <w:shd w:val="clear" w:color="auto" w:fill="FFFFFF"/>
        <w:tabs>
          <w:tab w:val="left" w:pos="540"/>
        </w:tabs>
        <w:spacing w:before="120" w:after="0" w:line="240" w:lineRule="auto"/>
        <w:jc w:val="both"/>
        <w:rPr>
          <w:rFonts w:ascii="Times New Roman" w:hAnsi="Times New Roman"/>
          <w:color w:val="FF0000"/>
          <w:sz w:val="24"/>
          <w:szCs w:val="24"/>
        </w:rPr>
      </w:pPr>
      <w:r>
        <w:rPr>
          <w:rFonts w:ascii="Times New Roman" w:hAnsi="Times New Roman"/>
          <w:color w:val="000000" w:themeColor="text1"/>
          <w:sz w:val="24"/>
          <w:szCs w:val="24"/>
        </w:rPr>
        <w:t xml:space="preserve">Trong </w:t>
      </w:r>
      <w:proofErr w:type="spellStart"/>
      <w:r>
        <w:rPr>
          <w:rFonts w:ascii="Times New Roman" w:hAnsi="Times New Roman"/>
          <w:color w:val="000000" w:themeColor="text1"/>
          <w:sz w:val="24"/>
          <w:szCs w:val="24"/>
        </w:rPr>
        <w:t>quý</w:t>
      </w:r>
      <w:proofErr w:type="spellEnd"/>
      <w:r>
        <w:rPr>
          <w:rFonts w:ascii="Times New Roman" w:hAnsi="Times New Roman"/>
          <w:color w:val="000000" w:themeColor="text1"/>
          <w:sz w:val="24"/>
          <w:szCs w:val="24"/>
        </w:rPr>
        <w:t xml:space="preserve"> 4 </w:t>
      </w:r>
      <w:proofErr w:type="spellStart"/>
      <w:r>
        <w:rPr>
          <w:rFonts w:ascii="Times New Roman" w:hAnsi="Times New Roman"/>
          <w:color w:val="000000" w:themeColor="text1"/>
          <w:sz w:val="24"/>
          <w:szCs w:val="24"/>
        </w:rPr>
        <w:t>năm</w:t>
      </w:r>
      <w:proofErr w:type="spellEnd"/>
      <w:r>
        <w:rPr>
          <w:rFonts w:ascii="Times New Roman" w:hAnsi="Times New Roman"/>
          <w:color w:val="000000" w:themeColor="text1"/>
          <w:sz w:val="24"/>
          <w:szCs w:val="24"/>
        </w:rPr>
        <w:t xml:space="preserve"> 2023, </w:t>
      </w:r>
      <w:proofErr w:type="spellStart"/>
      <w:r>
        <w:rPr>
          <w:rFonts w:ascii="Times New Roman" w:hAnsi="Times New Roman"/>
          <w:color w:val="000000" w:themeColor="text1"/>
          <w:sz w:val="24"/>
          <w:szCs w:val="24"/>
        </w:rPr>
        <w:t>k</w:t>
      </w:r>
      <w:r w:rsidRPr="001643B6">
        <w:rPr>
          <w:rFonts w:ascii="Times New Roman" w:hAnsi="Times New Roman"/>
          <w:color w:val="000000" w:themeColor="text1"/>
          <w:sz w:val="24"/>
          <w:szCs w:val="24"/>
        </w:rPr>
        <w:t>im</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ngạch</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xuất</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khẩu</w:t>
      </w:r>
      <w:proofErr w:type="spellEnd"/>
      <w:r w:rsidRPr="001643B6">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hàng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hóa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có</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phục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hồi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tích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cực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hơn</w:t>
      </w:r>
      <w:proofErr w:type="spellEnd"/>
      <w:r>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ước</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đạt</w:t>
      </w:r>
      <w:proofErr w:type="spellEnd"/>
      <w:r w:rsidRPr="001643B6">
        <w:rPr>
          <w:rFonts w:ascii="Times New Roman" w:hAnsi="Times New Roman"/>
          <w:color w:val="000000" w:themeColor="text1"/>
          <w:sz w:val="24"/>
          <w:szCs w:val="24"/>
        </w:rPr>
        <w:t xml:space="preserve"> 96,5 </w:t>
      </w:r>
      <w:proofErr w:type="spellStart"/>
      <w:r w:rsidRPr="001643B6">
        <w:rPr>
          <w:rFonts w:ascii="Times New Roman" w:hAnsi="Times New Roman"/>
          <w:color w:val="000000" w:themeColor="text1"/>
          <w:sz w:val="24"/>
          <w:szCs w:val="24"/>
        </w:rPr>
        <w:t>tỷ</w:t>
      </w:r>
      <w:proofErr w:type="spellEnd"/>
      <w:r w:rsidRPr="001643B6">
        <w:rPr>
          <w:rFonts w:ascii="Times New Roman" w:hAnsi="Times New Roman"/>
          <w:color w:val="000000" w:themeColor="text1"/>
          <w:sz w:val="24"/>
          <w:szCs w:val="24"/>
        </w:rPr>
        <w:t xml:space="preserve"> USD, </w:t>
      </w:r>
      <w:proofErr w:type="spellStart"/>
      <w:r w:rsidRPr="001643B6">
        <w:rPr>
          <w:rFonts w:ascii="Times New Roman" w:hAnsi="Times New Roman"/>
          <w:color w:val="000000" w:themeColor="text1"/>
          <w:sz w:val="24"/>
          <w:szCs w:val="24"/>
        </w:rPr>
        <w:t>tăng</w:t>
      </w:r>
      <w:proofErr w:type="spellEnd"/>
      <w:r w:rsidRPr="001643B6">
        <w:rPr>
          <w:rFonts w:ascii="Times New Roman" w:hAnsi="Times New Roman"/>
          <w:color w:val="000000" w:themeColor="text1"/>
          <w:sz w:val="24"/>
          <w:szCs w:val="24"/>
        </w:rPr>
        <w:t xml:space="preserve"> 8,8% so </w:t>
      </w:r>
      <w:proofErr w:type="spellStart"/>
      <w:r w:rsidRPr="001643B6">
        <w:rPr>
          <w:rFonts w:ascii="Times New Roman" w:hAnsi="Times New Roman"/>
          <w:color w:val="000000" w:themeColor="text1"/>
          <w:sz w:val="24"/>
          <w:szCs w:val="24"/>
        </w:rPr>
        <w:t>với</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cùng</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kỳ</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năm</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trước</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và</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tăng</w:t>
      </w:r>
      <w:proofErr w:type="spellEnd"/>
      <w:r w:rsidRPr="001643B6">
        <w:rPr>
          <w:rFonts w:ascii="Times New Roman" w:hAnsi="Times New Roman"/>
          <w:color w:val="000000" w:themeColor="text1"/>
          <w:sz w:val="24"/>
          <w:szCs w:val="24"/>
        </w:rPr>
        <w:t xml:space="preserve"> 3,2% so </w:t>
      </w:r>
      <w:proofErr w:type="spellStart"/>
      <w:r w:rsidRPr="001643B6">
        <w:rPr>
          <w:rFonts w:ascii="Times New Roman" w:hAnsi="Times New Roman"/>
          <w:color w:val="000000" w:themeColor="text1"/>
          <w:sz w:val="24"/>
          <w:szCs w:val="24"/>
        </w:rPr>
        <w:t>với</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quý</w:t>
      </w:r>
      <w:proofErr w:type="spellEnd"/>
      <w:r w:rsidRPr="001643B6">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3 </w:t>
      </w:r>
      <w:proofErr w:type="spellStart"/>
      <w:r w:rsidRPr="001643B6">
        <w:rPr>
          <w:rFonts w:ascii="Times New Roman" w:hAnsi="Times New Roman"/>
          <w:color w:val="000000" w:themeColor="text1"/>
          <w:sz w:val="24"/>
          <w:szCs w:val="24"/>
        </w:rPr>
        <w:t>năm</w:t>
      </w:r>
      <w:proofErr w:type="spellEnd"/>
      <w:r w:rsidRPr="001643B6">
        <w:rPr>
          <w:rFonts w:ascii="Times New Roman" w:hAnsi="Times New Roman"/>
          <w:color w:val="000000" w:themeColor="text1"/>
          <w:sz w:val="24"/>
          <w:szCs w:val="24"/>
        </w:rPr>
        <w:t xml:space="preserve"> 2023. </w:t>
      </w:r>
      <w:proofErr w:type="spellStart"/>
      <w:r w:rsidRPr="00394131">
        <w:rPr>
          <w:rFonts w:ascii="Times New Roman" w:hAnsi="Times New Roman"/>
          <w:color w:val="000000" w:themeColor="text1"/>
          <w:sz w:val="24"/>
          <w:szCs w:val="24"/>
        </w:rPr>
        <w:t>Tính</w:t>
      </w:r>
      <w:proofErr w:type="spellEnd"/>
      <w:r w:rsidRPr="00394131">
        <w:rPr>
          <w:rFonts w:ascii="Times New Roman" w:hAnsi="Times New Roman"/>
          <w:color w:val="000000" w:themeColor="text1"/>
          <w:sz w:val="24"/>
          <w:szCs w:val="24"/>
        </w:rPr>
        <w:t xml:space="preserve"> </w:t>
      </w:r>
      <w:proofErr w:type="spellStart"/>
      <w:r w:rsidRPr="00394131">
        <w:rPr>
          <w:rFonts w:ascii="Times New Roman" w:hAnsi="Times New Roman"/>
          <w:color w:val="000000" w:themeColor="text1"/>
          <w:sz w:val="24"/>
          <w:szCs w:val="24"/>
        </w:rPr>
        <w:t>chung</w:t>
      </w:r>
      <w:proofErr w:type="spellEnd"/>
      <w:r w:rsidRPr="00394131">
        <w:rPr>
          <w:rFonts w:ascii="Times New Roman" w:hAnsi="Times New Roman"/>
          <w:color w:val="000000" w:themeColor="text1"/>
          <w:sz w:val="24"/>
          <w:szCs w:val="24"/>
        </w:rPr>
        <w:t xml:space="preserve"> </w:t>
      </w:r>
      <w:proofErr w:type="spellStart"/>
      <w:r w:rsidRPr="00394131">
        <w:rPr>
          <w:rFonts w:ascii="Times New Roman" w:hAnsi="Times New Roman"/>
          <w:color w:val="000000" w:themeColor="text1"/>
          <w:sz w:val="24"/>
          <w:szCs w:val="24"/>
        </w:rPr>
        <w:t>cả</w:t>
      </w:r>
      <w:proofErr w:type="spellEnd"/>
      <w:r w:rsidRPr="00394131">
        <w:rPr>
          <w:rFonts w:ascii="Times New Roman" w:hAnsi="Times New Roman"/>
          <w:color w:val="000000" w:themeColor="text1"/>
          <w:sz w:val="24"/>
          <w:szCs w:val="24"/>
        </w:rPr>
        <w:t xml:space="preserve"> </w:t>
      </w:r>
      <w:proofErr w:type="spellStart"/>
      <w:r w:rsidRPr="00394131">
        <w:rPr>
          <w:rFonts w:ascii="Times New Roman" w:hAnsi="Times New Roman"/>
          <w:color w:val="000000" w:themeColor="text1"/>
          <w:sz w:val="24"/>
          <w:szCs w:val="24"/>
        </w:rPr>
        <w:t>năm</w:t>
      </w:r>
      <w:proofErr w:type="spellEnd"/>
      <w:r w:rsidRPr="00394131">
        <w:rPr>
          <w:rFonts w:ascii="Times New Roman" w:hAnsi="Times New Roman"/>
          <w:color w:val="000000" w:themeColor="text1"/>
          <w:sz w:val="24"/>
          <w:szCs w:val="24"/>
        </w:rPr>
        <w:t xml:space="preserve"> 2023, </w:t>
      </w:r>
      <w:proofErr w:type="spellStart"/>
      <w:r w:rsidRPr="00394131">
        <w:rPr>
          <w:rFonts w:ascii="Times New Roman" w:hAnsi="Times New Roman"/>
          <w:color w:val="000000" w:themeColor="text1"/>
          <w:sz w:val="24"/>
          <w:szCs w:val="24"/>
        </w:rPr>
        <w:t>kim</w:t>
      </w:r>
      <w:proofErr w:type="spellEnd"/>
      <w:r w:rsidRPr="00394131">
        <w:rPr>
          <w:rFonts w:ascii="Times New Roman" w:hAnsi="Times New Roman"/>
          <w:color w:val="000000" w:themeColor="text1"/>
          <w:sz w:val="24"/>
          <w:szCs w:val="24"/>
        </w:rPr>
        <w:t xml:space="preserve"> </w:t>
      </w:r>
      <w:proofErr w:type="spellStart"/>
      <w:r w:rsidRPr="00394131">
        <w:rPr>
          <w:rFonts w:ascii="Times New Roman" w:hAnsi="Times New Roman"/>
          <w:color w:val="000000" w:themeColor="text1"/>
          <w:sz w:val="24"/>
          <w:szCs w:val="24"/>
        </w:rPr>
        <w:t>ngạch</w:t>
      </w:r>
      <w:proofErr w:type="spellEnd"/>
      <w:r w:rsidRPr="00394131">
        <w:rPr>
          <w:rFonts w:ascii="Times New Roman" w:hAnsi="Times New Roman"/>
          <w:color w:val="000000" w:themeColor="text1"/>
          <w:sz w:val="24"/>
          <w:szCs w:val="24"/>
        </w:rPr>
        <w:t xml:space="preserve"> </w:t>
      </w:r>
      <w:proofErr w:type="spellStart"/>
      <w:r w:rsidRPr="00394131">
        <w:rPr>
          <w:rFonts w:ascii="Times New Roman" w:hAnsi="Times New Roman"/>
          <w:color w:val="000000" w:themeColor="text1"/>
          <w:sz w:val="24"/>
          <w:szCs w:val="24"/>
        </w:rPr>
        <w:t>xuất</w:t>
      </w:r>
      <w:proofErr w:type="spellEnd"/>
      <w:r w:rsidRPr="00394131">
        <w:rPr>
          <w:rFonts w:ascii="Times New Roman" w:hAnsi="Times New Roman"/>
          <w:color w:val="000000" w:themeColor="text1"/>
          <w:sz w:val="24"/>
          <w:szCs w:val="24"/>
        </w:rPr>
        <w:t xml:space="preserve"> </w:t>
      </w:r>
      <w:proofErr w:type="spellStart"/>
      <w:r w:rsidRPr="00394131">
        <w:rPr>
          <w:rFonts w:ascii="Times New Roman" w:hAnsi="Times New Roman"/>
          <w:color w:val="000000" w:themeColor="text1"/>
          <w:sz w:val="24"/>
          <w:szCs w:val="24"/>
        </w:rPr>
        <w:t>khẩu</w:t>
      </w:r>
      <w:proofErr w:type="spellEnd"/>
      <w:r w:rsidRPr="00394131">
        <w:rPr>
          <w:rFonts w:ascii="Times New Roman" w:hAnsi="Times New Roman"/>
          <w:color w:val="000000" w:themeColor="text1"/>
          <w:sz w:val="24"/>
          <w:szCs w:val="24"/>
        </w:rPr>
        <w:t xml:space="preserve"> </w:t>
      </w:r>
      <w:proofErr w:type="spellStart"/>
      <w:r w:rsidRPr="00394131">
        <w:rPr>
          <w:rFonts w:ascii="Times New Roman" w:hAnsi="Times New Roman"/>
          <w:color w:val="000000" w:themeColor="text1"/>
          <w:sz w:val="24"/>
          <w:szCs w:val="24"/>
        </w:rPr>
        <w:t>hàng</w:t>
      </w:r>
      <w:proofErr w:type="spellEnd"/>
      <w:r w:rsidRPr="00394131">
        <w:rPr>
          <w:rFonts w:ascii="Times New Roman" w:hAnsi="Times New Roman"/>
          <w:color w:val="000000" w:themeColor="text1"/>
          <w:sz w:val="24"/>
          <w:szCs w:val="24"/>
        </w:rPr>
        <w:t xml:space="preserve"> </w:t>
      </w:r>
      <w:proofErr w:type="spellStart"/>
      <w:r w:rsidRPr="00394131">
        <w:rPr>
          <w:rFonts w:ascii="Times New Roman" w:hAnsi="Times New Roman"/>
          <w:color w:val="000000" w:themeColor="text1"/>
          <w:sz w:val="24"/>
          <w:szCs w:val="24"/>
        </w:rPr>
        <w:t>hóa</w:t>
      </w:r>
      <w:proofErr w:type="spellEnd"/>
      <w:r w:rsidRPr="00394131">
        <w:rPr>
          <w:rFonts w:ascii="Times New Roman" w:hAnsi="Times New Roman"/>
          <w:color w:val="000000" w:themeColor="text1"/>
          <w:sz w:val="24"/>
          <w:szCs w:val="24"/>
        </w:rPr>
        <w:t xml:space="preserve"> </w:t>
      </w:r>
      <w:proofErr w:type="spellStart"/>
      <w:r w:rsidRPr="00394131">
        <w:rPr>
          <w:rFonts w:ascii="Times New Roman" w:hAnsi="Times New Roman"/>
          <w:color w:val="000000" w:themeColor="text1"/>
          <w:sz w:val="24"/>
          <w:szCs w:val="24"/>
        </w:rPr>
        <w:t>ước</w:t>
      </w:r>
      <w:proofErr w:type="spellEnd"/>
      <w:r w:rsidRPr="00394131">
        <w:rPr>
          <w:rFonts w:ascii="Times New Roman" w:hAnsi="Times New Roman"/>
          <w:color w:val="000000" w:themeColor="text1"/>
          <w:sz w:val="24"/>
          <w:szCs w:val="24"/>
        </w:rPr>
        <w:t xml:space="preserve"> </w:t>
      </w:r>
      <w:proofErr w:type="spellStart"/>
      <w:r w:rsidRPr="00394131">
        <w:rPr>
          <w:rFonts w:ascii="Times New Roman" w:hAnsi="Times New Roman"/>
          <w:color w:val="000000" w:themeColor="text1"/>
          <w:sz w:val="24"/>
          <w:szCs w:val="24"/>
        </w:rPr>
        <w:t>đạt</w:t>
      </w:r>
      <w:proofErr w:type="spellEnd"/>
      <w:r w:rsidRPr="00394131">
        <w:rPr>
          <w:rFonts w:ascii="Times New Roman" w:hAnsi="Times New Roman"/>
          <w:color w:val="000000" w:themeColor="text1"/>
          <w:sz w:val="24"/>
          <w:szCs w:val="24"/>
        </w:rPr>
        <w:t xml:space="preserve"> 355,5 </w:t>
      </w:r>
      <w:proofErr w:type="spellStart"/>
      <w:r w:rsidRPr="00394131">
        <w:rPr>
          <w:rFonts w:ascii="Times New Roman" w:hAnsi="Times New Roman"/>
          <w:color w:val="000000" w:themeColor="text1"/>
          <w:sz w:val="24"/>
          <w:szCs w:val="24"/>
        </w:rPr>
        <w:t>tỷ</w:t>
      </w:r>
      <w:proofErr w:type="spellEnd"/>
      <w:r w:rsidRPr="00394131">
        <w:rPr>
          <w:rFonts w:ascii="Times New Roman" w:hAnsi="Times New Roman"/>
          <w:color w:val="000000" w:themeColor="text1"/>
          <w:sz w:val="24"/>
          <w:szCs w:val="24"/>
        </w:rPr>
        <w:t xml:space="preserve"> USD, </w:t>
      </w:r>
      <w:proofErr w:type="spellStart"/>
      <w:r w:rsidRPr="00394131">
        <w:rPr>
          <w:rFonts w:ascii="Times New Roman" w:hAnsi="Times New Roman"/>
          <w:color w:val="000000" w:themeColor="text1"/>
          <w:sz w:val="24"/>
          <w:szCs w:val="24"/>
        </w:rPr>
        <w:t>giảm</w:t>
      </w:r>
      <w:proofErr w:type="spellEnd"/>
      <w:r w:rsidRPr="00394131">
        <w:rPr>
          <w:rFonts w:ascii="Times New Roman" w:hAnsi="Times New Roman"/>
          <w:color w:val="000000" w:themeColor="text1"/>
          <w:sz w:val="24"/>
          <w:szCs w:val="24"/>
        </w:rPr>
        <w:t xml:space="preserve"> 4,4% so </w:t>
      </w:r>
      <w:proofErr w:type="spellStart"/>
      <w:r w:rsidRPr="00394131">
        <w:rPr>
          <w:rFonts w:ascii="Times New Roman" w:hAnsi="Times New Roman"/>
          <w:color w:val="000000" w:themeColor="text1"/>
          <w:sz w:val="24"/>
          <w:szCs w:val="24"/>
        </w:rPr>
        <w:t>với</w:t>
      </w:r>
      <w:proofErr w:type="spellEnd"/>
      <w:r w:rsidRPr="00394131">
        <w:rPr>
          <w:rFonts w:ascii="Times New Roman" w:hAnsi="Times New Roman"/>
          <w:color w:val="000000" w:themeColor="text1"/>
          <w:sz w:val="24"/>
          <w:szCs w:val="24"/>
        </w:rPr>
        <w:t xml:space="preserve"> </w:t>
      </w:r>
      <w:proofErr w:type="spellStart"/>
      <w:r w:rsidRPr="00394131">
        <w:rPr>
          <w:rFonts w:ascii="Times New Roman" w:hAnsi="Times New Roman"/>
          <w:color w:val="000000" w:themeColor="text1"/>
          <w:sz w:val="24"/>
          <w:szCs w:val="24"/>
        </w:rPr>
        <w:t>năm</w:t>
      </w:r>
      <w:proofErr w:type="spellEnd"/>
      <w:r w:rsidRPr="00394131">
        <w:rPr>
          <w:rFonts w:ascii="Times New Roman" w:hAnsi="Times New Roman"/>
          <w:color w:val="000000" w:themeColor="text1"/>
          <w:sz w:val="24"/>
          <w:szCs w:val="24"/>
        </w:rPr>
        <w:t xml:space="preserve"> </w:t>
      </w:r>
      <w:proofErr w:type="spellStart"/>
      <w:r w:rsidRPr="00394131">
        <w:rPr>
          <w:rFonts w:ascii="Times New Roman" w:hAnsi="Times New Roman"/>
          <w:color w:val="000000" w:themeColor="text1"/>
          <w:sz w:val="24"/>
          <w:szCs w:val="24"/>
        </w:rPr>
        <w:t>trước</w:t>
      </w:r>
      <w:proofErr w:type="spellEnd"/>
      <w:r>
        <w:rPr>
          <w:rFonts w:ascii="Times New Roman" w:hAnsi="Times New Roman"/>
          <w:color w:val="000000" w:themeColor="text1"/>
          <w:sz w:val="24"/>
          <w:szCs w:val="24"/>
        </w:rPr>
        <w:t>,</w:t>
      </w:r>
      <w:r w:rsidRPr="00394131">
        <w:rPr>
          <w:rFonts w:ascii="Times New Roman" w:hAnsi="Times New Roman"/>
          <w:color w:val="000000" w:themeColor="text1"/>
          <w:sz w:val="24"/>
          <w:szCs w:val="24"/>
        </w:rPr>
        <w:t xml:space="preserve"> </w:t>
      </w:r>
      <w:proofErr w:type="spellStart"/>
      <w:r w:rsidRPr="00394131">
        <w:rPr>
          <w:rFonts w:ascii="Times New Roman" w:hAnsi="Times New Roman"/>
          <w:color w:val="000000" w:themeColor="text1"/>
          <w:sz w:val="24"/>
          <w:szCs w:val="24"/>
        </w:rPr>
        <w:t>nhập</w:t>
      </w:r>
      <w:proofErr w:type="spellEnd"/>
      <w:r w:rsidRPr="00394131">
        <w:rPr>
          <w:rFonts w:ascii="Times New Roman" w:hAnsi="Times New Roman"/>
          <w:color w:val="000000" w:themeColor="text1"/>
          <w:sz w:val="24"/>
          <w:szCs w:val="24"/>
        </w:rPr>
        <w:t xml:space="preserve"> </w:t>
      </w:r>
      <w:proofErr w:type="spellStart"/>
      <w:r w:rsidRPr="00394131">
        <w:rPr>
          <w:rFonts w:ascii="Times New Roman" w:hAnsi="Times New Roman"/>
          <w:color w:val="000000" w:themeColor="text1"/>
          <w:sz w:val="24"/>
          <w:szCs w:val="24"/>
        </w:rPr>
        <w:t>khẩu</w:t>
      </w:r>
      <w:proofErr w:type="spellEnd"/>
      <w:r w:rsidRPr="00394131">
        <w:rPr>
          <w:rFonts w:ascii="Times New Roman" w:hAnsi="Times New Roman"/>
          <w:color w:val="000000" w:themeColor="text1"/>
          <w:sz w:val="24"/>
          <w:szCs w:val="24"/>
        </w:rPr>
        <w:t xml:space="preserve"> </w:t>
      </w:r>
      <w:proofErr w:type="spellStart"/>
      <w:r w:rsidRPr="00394131">
        <w:rPr>
          <w:rFonts w:ascii="Times New Roman" w:hAnsi="Times New Roman"/>
          <w:color w:val="000000" w:themeColor="text1"/>
          <w:sz w:val="24"/>
          <w:szCs w:val="24"/>
        </w:rPr>
        <w:t>hàng</w:t>
      </w:r>
      <w:proofErr w:type="spellEnd"/>
      <w:r w:rsidRPr="00394131">
        <w:rPr>
          <w:rFonts w:ascii="Times New Roman" w:hAnsi="Times New Roman"/>
          <w:color w:val="000000" w:themeColor="text1"/>
          <w:sz w:val="24"/>
          <w:szCs w:val="24"/>
        </w:rPr>
        <w:t xml:space="preserve"> </w:t>
      </w:r>
      <w:proofErr w:type="spellStart"/>
      <w:r w:rsidRPr="00394131">
        <w:rPr>
          <w:rFonts w:ascii="Times New Roman" w:hAnsi="Times New Roman"/>
          <w:color w:val="000000" w:themeColor="text1"/>
          <w:sz w:val="24"/>
          <w:szCs w:val="24"/>
        </w:rPr>
        <w:t>hóa</w:t>
      </w:r>
      <w:proofErr w:type="spellEnd"/>
      <w:r w:rsidRPr="00394131">
        <w:rPr>
          <w:rFonts w:ascii="Times New Roman" w:hAnsi="Times New Roman"/>
          <w:color w:val="000000" w:themeColor="text1"/>
          <w:sz w:val="24"/>
          <w:szCs w:val="24"/>
        </w:rPr>
        <w:t xml:space="preserve"> </w:t>
      </w:r>
      <w:proofErr w:type="spellStart"/>
      <w:r w:rsidRPr="00394131">
        <w:rPr>
          <w:rFonts w:ascii="Times New Roman" w:hAnsi="Times New Roman"/>
          <w:color w:val="000000" w:themeColor="text1"/>
          <w:sz w:val="24"/>
          <w:szCs w:val="24"/>
        </w:rPr>
        <w:t>ước</w:t>
      </w:r>
      <w:proofErr w:type="spellEnd"/>
      <w:r w:rsidRPr="00394131">
        <w:rPr>
          <w:rFonts w:ascii="Times New Roman" w:hAnsi="Times New Roman"/>
          <w:color w:val="000000" w:themeColor="text1"/>
          <w:sz w:val="24"/>
          <w:szCs w:val="24"/>
        </w:rPr>
        <w:t xml:space="preserve"> </w:t>
      </w:r>
      <w:proofErr w:type="spellStart"/>
      <w:r w:rsidRPr="00394131">
        <w:rPr>
          <w:rFonts w:ascii="Times New Roman" w:hAnsi="Times New Roman"/>
          <w:color w:val="000000" w:themeColor="text1"/>
          <w:sz w:val="24"/>
          <w:szCs w:val="24"/>
        </w:rPr>
        <w:t>đạt</w:t>
      </w:r>
      <w:proofErr w:type="spellEnd"/>
      <w:r w:rsidRPr="00394131">
        <w:rPr>
          <w:rFonts w:ascii="Times New Roman" w:hAnsi="Times New Roman"/>
          <w:color w:val="000000" w:themeColor="text1"/>
          <w:sz w:val="24"/>
          <w:szCs w:val="24"/>
        </w:rPr>
        <w:t xml:space="preserve"> 327,5 </w:t>
      </w:r>
      <w:proofErr w:type="spellStart"/>
      <w:r w:rsidRPr="00394131">
        <w:rPr>
          <w:rFonts w:ascii="Times New Roman" w:hAnsi="Times New Roman"/>
          <w:color w:val="000000" w:themeColor="text1"/>
          <w:sz w:val="24"/>
          <w:szCs w:val="24"/>
        </w:rPr>
        <w:t>tỷ</w:t>
      </w:r>
      <w:proofErr w:type="spellEnd"/>
      <w:r w:rsidRPr="00394131">
        <w:rPr>
          <w:rFonts w:ascii="Times New Roman" w:hAnsi="Times New Roman"/>
          <w:color w:val="000000" w:themeColor="text1"/>
          <w:sz w:val="24"/>
          <w:szCs w:val="24"/>
        </w:rPr>
        <w:t xml:space="preserve"> USD, </w:t>
      </w:r>
      <w:proofErr w:type="spellStart"/>
      <w:r w:rsidRPr="00394131">
        <w:rPr>
          <w:rFonts w:ascii="Times New Roman" w:hAnsi="Times New Roman"/>
          <w:color w:val="000000" w:themeColor="text1"/>
          <w:sz w:val="24"/>
          <w:szCs w:val="24"/>
        </w:rPr>
        <w:t>giảm</w:t>
      </w:r>
      <w:proofErr w:type="spellEnd"/>
      <w:r w:rsidRPr="00394131">
        <w:rPr>
          <w:rFonts w:ascii="Times New Roman" w:hAnsi="Times New Roman"/>
          <w:color w:val="000000" w:themeColor="text1"/>
          <w:sz w:val="24"/>
          <w:szCs w:val="24"/>
        </w:rPr>
        <w:t xml:space="preserve"> 8,9% so </w:t>
      </w:r>
      <w:proofErr w:type="spellStart"/>
      <w:r w:rsidRPr="00394131">
        <w:rPr>
          <w:rFonts w:ascii="Times New Roman" w:hAnsi="Times New Roman"/>
          <w:color w:val="000000" w:themeColor="text1"/>
          <w:sz w:val="24"/>
          <w:szCs w:val="24"/>
        </w:rPr>
        <w:t>với</w:t>
      </w:r>
      <w:proofErr w:type="spellEnd"/>
      <w:r w:rsidRPr="00394131">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cùng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kỳ</w:t>
      </w:r>
      <w:proofErr w:type="spellEnd"/>
      <w:r>
        <w:rPr>
          <w:rFonts w:ascii="Times New Roman" w:hAnsi="Times New Roman"/>
          <w:color w:val="000000" w:themeColor="text1"/>
          <w:sz w:val="24"/>
          <w:szCs w:val="24"/>
        </w:rPr>
        <w:t>.</w:t>
      </w:r>
      <w:r w:rsidRPr="00394131">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Chỉ</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số</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quản</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trị</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mua</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hàng</w:t>
      </w:r>
      <w:proofErr w:type="spellEnd"/>
      <w:r w:rsidRPr="001643B6">
        <w:rPr>
          <w:rFonts w:ascii="Times New Roman" w:hAnsi="Times New Roman"/>
          <w:color w:val="000000" w:themeColor="text1"/>
          <w:sz w:val="24"/>
          <w:szCs w:val="24"/>
        </w:rPr>
        <w:t xml:space="preserve"> – PMI </w:t>
      </w:r>
      <w:proofErr w:type="spellStart"/>
      <w:r w:rsidRPr="001643B6">
        <w:rPr>
          <w:rFonts w:ascii="Times New Roman" w:hAnsi="Times New Roman"/>
          <w:color w:val="000000" w:themeColor="text1"/>
          <w:sz w:val="24"/>
          <w:szCs w:val="24"/>
        </w:rPr>
        <w:t>kỳ</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tháng</w:t>
      </w:r>
      <w:proofErr w:type="spellEnd"/>
      <w:r w:rsidRPr="001643B6">
        <w:rPr>
          <w:rFonts w:ascii="Times New Roman" w:hAnsi="Times New Roman"/>
          <w:color w:val="000000" w:themeColor="text1"/>
          <w:sz w:val="24"/>
          <w:szCs w:val="24"/>
        </w:rPr>
        <w:t xml:space="preserve"> </w:t>
      </w:r>
      <w:r>
        <w:rPr>
          <w:rFonts w:ascii="Times New Roman" w:hAnsi="Times New Roman"/>
          <w:color w:val="000000" w:themeColor="text1"/>
          <w:sz w:val="24"/>
          <w:szCs w:val="24"/>
        </w:rPr>
        <w:t>12</w:t>
      </w:r>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năm</w:t>
      </w:r>
      <w:proofErr w:type="spellEnd"/>
      <w:r w:rsidRPr="001643B6">
        <w:rPr>
          <w:rFonts w:ascii="Times New Roman" w:hAnsi="Times New Roman"/>
          <w:color w:val="000000" w:themeColor="text1"/>
          <w:sz w:val="24"/>
          <w:szCs w:val="24"/>
        </w:rPr>
        <w:t xml:space="preserve"> 2023 </w:t>
      </w:r>
      <w:proofErr w:type="spellStart"/>
      <w:r>
        <w:rPr>
          <w:rFonts w:ascii="Times New Roman" w:hAnsi="Times New Roman"/>
          <w:color w:val="000000" w:themeColor="text1"/>
          <w:sz w:val="24"/>
          <w:szCs w:val="24"/>
        </w:rPr>
        <w:t>là</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tháng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thứ</w:t>
      </w:r>
      <w:proofErr w:type="spellEnd"/>
      <w:r>
        <w:rPr>
          <w:rFonts w:ascii="Times New Roman" w:hAnsi="Times New Roman"/>
          <w:color w:val="000000" w:themeColor="text1"/>
          <w:sz w:val="24"/>
          <w:szCs w:val="24"/>
        </w:rPr>
        <w:t xml:space="preserve"> 4 </w:t>
      </w:r>
      <w:proofErr w:type="spellStart"/>
      <w:r>
        <w:rPr>
          <w:rFonts w:ascii="Times New Roman" w:hAnsi="Times New Roman"/>
          <w:color w:val="000000" w:themeColor="text1"/>
          <w:sz w:val="24"/>
          <w:szCs w:val="24"/>
        </w:rPr>
        <w:t>liên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tiếp</w:t>
      </w:r>
      <w:proofErr w:type="spellEnd"/>
      <w:r w:rsidRPr="001643B6">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nằm</w:t>
      </w:r>
      <w:proofErr w:type="spellEnd"/>
      <w:r>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dưới</w:t>
      </w:r>
      <w:proofErr w:type="spellEnd"/>
      <w:r w:rsidRPr="001643B6">
        <w:rPr>
          <w:rFonts w:ascii="Times New Roman" w:hAnsi="Times New Roman"/>
          <w:color w:val="000000" w:themeColor="text1"/>
          <w:sz w:val="24"/>
          <w:szCs w:val="24"/>
        </w:rPr>
        <w:t xml:space="preserve"> 50</w:t>
      </w:r>
      <w:r>
        <w:rPr>
          <w:rFonts w:ascii="Times New Roman" w:hAnsi="Times New Roman"/>
          <w:color w:val="000000" w:themeColor="text1"/>
          <w:sz w:val="24"/>
          <w:szCs w:val="24"/>
        </w:rPr>
        <w:t>,</w:t>
      </w:r>
      <w:r w:rsidRPr="001643B6">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ghi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nhận</w:t>
      </w:r>
      <w:proofErr w:type="spellEnd"/>
      <w:r>
        <w:rPr>
          <w:rFonts w:ascii="Times New Roman" w:hAnsi="Times New Roman"/>
          <w:color w:val="000000" w:themeColor="text1"/>
          <w:sz w:val="24"/>
          <w:szCs w:val="24"/>
        </w:rPr>
        <w:t xml:space="preserve"> </w:t>
      </w:r>
      <w:r w:rsidRPr="001643B6">
        <w:rPr>
          <w:rFonts w:ascii="Times New Roman" w:hAnsi="Times New Roman"/>
          <w:color w:val="000000" w:themeColor="text1"/>
          <w:sz w:val="24"/>
          <w:szCs w:val="24"/>
        </w:rPr>
        <w:t xml:space="preserve">ở </w:t>
      </w:r>
      <w:proofErr w:type="spellStart"/>
      <w:r w:rsidRPr="001643B6">
        <w:rPr>
          <w:rFonts w:ascii="Times New Roman" w:hAnsi="Times New Roman"/>
          <w:color w:val="000000" w:themeColor="text1"/>
          <w:sz w:val="24"/>
          <w:szCs w:val="24"/>
        </w:rPr>
        <w:t>mức</w:t>
      </w:r>
      <w:proofErr w:type="spellEnd"/>
      <w:r w:rsidRPr="001643B6">
        <w:rPr>
          <w:rFonts w:ascii="Times New Roman" w:hAnsi="Times New Roman"/>
          <w:color w:val="000000" w:themeColor="text1"/>
          <w:sz w:val="24"/>
          <w:szCs w:val="24"/>
        </w:rPr>
        <w:t xml:space="preserve"> </w:t>
      </w:r>
      <w:r>
        <w:rPr>
          <w:rFonts w:ascii="Times New Roman" w:hAnsi="Times New Roman"/>
          <w:color w:val="000000" w:themeColor="text1"/>
          <w:sz w:val="24"/>
          <w:szCs w:val="24"/>
        </w:rPr>
        <w:t>48,9</w:t>
      </w:r>
      <w:r w:rsidRPr="001643B6">
        <w:rPr>
          <w:rFonts w:ascii="Times New Roman" w:hAnsi="Times New Roman"/>
          <w:color w:val="000000" w:themeColor="text1"/>
          <w:sz w:val="24"/>
          <w:szCs w:val="24"/>
        </w:rPr>
        <w:t xml:space="preserve">; </w:t>
      </w:r>
      <w:r>
        <w:rPr>
          <w:rFonts w:ascii="Times New Roman" w:hAnsi="Times New Roman"/>
          <w:color w:val="000000" w:themeColor="text1"/>
          <w:sz w:val="24"/>
          <w:szCs w:val="24"/>
        </w:rPr>
        <w:t>PMI</w:t>
      </w:r>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cho</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thấy</w:t>
      </w:r>
      <w:proofErr w:type="spellEnd"/>
      <w:r w:rsidRPr="001643B6">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tình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hình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sản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xuất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trong</w:t>
      </w:r>
      <w:proofErr w:type="spellEnd"/>
      <w:r>
        <w:rPr>
          <w:rFonts w:ascii="Times New Roman" w:hAnsi="Times New Roman"/>
          <w:color w:val="000000" w:themeColor="text1"/>
          <w:sz w:val="24"/>
          <w:szCs w:val="24"/>
        </w:rPr>
        <w:t xml:space="preserve"> Quý 4 </w:t>
      </w:r>
      <w:proofErr w:type="spellStart"/>
      <w:r>
        <w:rPr>
          <w:rFonts w:ascii="Times New Roman" w:hAnsi="Times New Roman"/>
          <w:color w:val="000000" w:themeColor="text1"/>
          <w:sz w:val="24"/>
          <w:szCs w:val="24"/>
        </w:rPr>
        <w:t>còn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nhiều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khó</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khăn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khi</w:t>
      </w:r>
      <w:proofErr w:type="spellEnd"/>
      <w:r>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các</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doanh</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nghiệp</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đang</w:t>
      </w:r>
      <w:proofErr w:type="spellEnd"/>
      <w:r w:rsidRPr="001643B6">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thiếu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hụt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các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đơn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hàng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đồng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thời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khó</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khăn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trong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việc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tăng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giá</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bán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bất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chấp</w:t>
      </w:r>
      <w:proofErr w:type="spellEnd"/>
      <w:r>
        <w:rPr>
          <w:rFonts w:ascii="Times New Roman" w:hAnsi="Times New Roman"/>
          <w:color w:val="000000" w:themeColor="text1"/>
          <w:sz w:val="24"/>
          <w:szCs w:val="24"/>
        </w:rPr>
        <w:t xml:space="preserve"> chi </w:t>
      </w:r>
      <w:proofErr w:type="spellStart"/>
      <w:r>
        <w:rPr>
          <w:rFonts w:ascii="Times New Roman" w:hAnsi="Times New Roman"/>
          <w:color w:val="000000" w:themeColor="text1"/>
          <w:sz w:val="24"/>
          <w:szCs w:val="24"/>
        </w:rPr>
        <w:t>phí</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đầu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vào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tăng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cao</w:t>
      </w:r>
      <w:proofErr w:type="spellEnd"/>
      <w:r>
        <w:rPr>
          <w:rFonts w:ascii="Times New Roman" w:hAnsi="Times New Roman"/>
          <w:color w:val="000000" w:themeColor="text1"/>
          <w:sz w:val="24"/>
          <w:szCs w:val="24"/>
        </w:rPr>
        <w:t>.</w:t>
      </w:r>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Tình</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hình</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thu</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hút</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vốn</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đầu</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tư</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trực</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tiếp</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nước</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ngoài</w:t>
      </w:r>
      <w:proofErr w:type="spellEnd"/>
      <w:r w:rsidRPr="001643B6">
        <w:rPr>
          <w:rFonts w:ascii="Times New Roman" w:hAnsi="Times New Roman"/>
          <w:color w:val="000000" w:themeColor="text1"/>
          <w:sz w:val="24"/>
          <w:szCs w:val="24"/>
        </w:rPr>
        <w:t xml:space="preserve"> (“FDI”) </w:t>
      </w:r>
      <w:proofErr w:type="spellStart"/>
      <w:r>
        <w:rPr>
          <w:rFonts w:ascii="Times New Roman" w:hAnsi="Times New Roman"/>
          <w:color w:val="000000" w:themeColor="text1"/>
          <w:sz w:val="24"/>
          <w:szCs w:val="24"/>
        </w:rPr>
        <w:t>của</w:t>
      </w:r>
      <w:proofErr w:type="spellEnd"/>
      <w:r>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năm</w:t>
      </w:r>
      <w:proofErr w:type="spellEnd"/>
      <w:r w:rsidRPr="001643B6">
        <w:rPr>
          <w:rFonts w:ascii="Times New Roman" w:hAnsi="Times New Roman"/>
          <w:color w:val="000000" w:themeColor="text1"/>
          <w:sz w:val="24"/>
          <w:szCs w:val="24"/>
        </w:rPr>
        <w:t xml:space="preserve"> 2023 </w:t>
      </w:r>
      <w:proofErr w:type="spellStart"/>
      <w:r w:rsidRPr="001643B6">
        <w:rPr>
          <w:rFonts w:ascii="Times New Roman" w:hAnsi="Times New Roman"/>
          <w:color w:val="000000" w:themeColor="text1"/>
          <w:sz w:val="24"/>
          <w:szCs w:val="24"/>
        </w:rPr>
        <w:t>duy</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trì</w:t>
      </w:r>
      <w:proofErr w:type="spellEnd"/>
      <w:r w:rsidRPr="001643B6">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tích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cực</w:t>
      </w:r>
      <w:proofErr w:type="spellEnd"/>
      <w:r w:rsidRPr="001643B6">
        <w:rPr>
          <w:rFonts w:ascii="Times New Roman" w:hAnsi="Times New Roman"/>
          <w:color w:val="000000" w:themeColor="text1"/>
          <w:sz w:val="24"/>
          <w:szCs w:val="24"/>
        </w:rPr>
        <w:t xml:space="preserve">, </w:t>
      </w:r>
      <w:proofErr w:type="spellStart"/>
      <w:r w:rsidRPr="001643B6">
        <w:rPr>
          <w:rFonts w:ascii="Times New Roman" w:eastAsia="Times New Roman" w:hAnsi="Times New Roman"/>
          <w:color w:val="000000" w:themeColor="text1"/>
          <w:sz w:val="24"/>
          <w:szCs w:val="24"/>
        </w:rPr>
        <w:t>số</w:t>
      </w:r>
      <w:proofErr w:type="spellEnd"/>
      <w:r w:rsidRPr="001643B6">
        <w:rPr>
          <w:rFonts w:ascii="Times New Roman" w:eastAsia="Times New Roman" w:hAnsi="Times New Roman"/>
          <w:color w:val="000000" w:themeColor="text1"/>
          <w:sz w:val="24"/>
          <w:szCs w:val="24"/>
        </w:rPr>
        <w:t xml:space="preserve"> </w:t>
      </w:r>
      <w:proofErr w:type="spellStart"/>
      <w:r w:rsidRPr="001643B6">
        <w:rPr>
          <w:rFonts w:ascii="Times New Roman" w:eastAsia="Times New Roman" w:hAnsi="Times New Roman"/>
          <w:color w:val="000000" w:themeColor="text1"/>
          <w:sz w:val="24"/>
          <w:szCs w:val="24"/>
        </w:rPr>
        <w:t>liệu</w:t>
      </w:r>
      <w:proofErr w:type="spellEnd"/>
      <w:r w:rsidRPr="001643B6">
        <w:rPr>
          <w:rFonts w:ascii="Times New Roman" w:eastAsia="Times New Roman" w:hAnsi="Times New Roman"/>
          <w:color w:val="000000" w:themeColor="text1"/>
          <w:sz w:val="24"/>
          <w:szCs w:val="24"/>
        </w:rPr>
        <w:t xml:space="preserve"> </w:t>
      </w:r>
      <w:proofErr w:type="spellStart"/>
      <w:r w:rsidRPr="001643B6">
        <w:rPr>
          <w:rFonts w:ascii="Times New Roman" w:eastAsia="Times New Roman" w:hAnsi="Times New Roman"/>
          <w:color w:val="000000" w:themeColor="text1"/>
          <w:sz w:val="24"/>
          <w:szCs w:val="24"/>
        </w:rPr>
        <w:t>cập</w:t>
      </w:r>
      <w:proofErr w:type="spellEnd"/>
      <w:r w:rsidRPr="001643B6">
        <w:rPr>
          <w:rFonts w:ascii="Times New Roman" w:eastAsia="Times New Roman" w:hAnsi="Times New Roman"/>
          <w:color w:val="000000" w:themeColor="text1"/>
          <w:sz w:val="24"/>
          <w:szCs w:val="24"/>
        </w:rPr>
        <w:t xml:space="preserve"> </w:t>
      </w:r>
      <w:proofErr w:type="spellStart"/>
      <w:r w:rsidRPr="001643B6">
        <w:rPr>
          <w:rFonts w:ascii="Times New Roman" w:eastAsia="Times New Roman" w:hAnsi="Times New Roman"/>
          <w:color w:val="000000" w:themeColor="text1"/>
          <w:sz w:val="24"/>
          <w:szCs w:val="24"/>
        </w:rPr>
        <w:t>nhật</w:t>
      </w:r>
      <w:proofErr w:type="spellEnd"/>
      <w:r w:rsidRPr="001643B6">
        <w:rPr>
          <w:rFonts w:ascii="Times New Roman" w:eastAsia="Times New Roman" w:hAnsi="Times New Roman"/>
          <w:color w:val="000000" w:themeColor="text1"/>
          <w:sz w:val="24"/>
          <w:szCs w:val="24"/>
        </w:rPr>
        <w:t xml:space="preserve"> </w:t>
      </w:r>
      <w:proofErr w:type="spellStart"/>
      <w:r w:rsidRPr="001643B6">
        <w:rPr>
          <w:rFonts w:ascii="Times New Roman" w:eastAsia="Times New Roman" w:hAnsi="Times New Roman"/>
          <w:color w:val="000000" w:themeColor="text1"/>
          <w:sz w:val="24"/>
          <w:szCs w:val="24"/>
        </w:rPr>
        <w:t>của</w:t>
      </w:r>
      <w:proofErr w:type="spellEnd"/>
      <w:r w:rsidRPr="001643B6">
        <w:rPr>
          <w:rFonts w:ascii="Times New Roman" w:eastAsia="Times New Roman" w:hAnsi="Times New Roman"/>
          <w:color w:val="000000" w:themeColor="text1"/>
          <w:sz w:val="24"/>
          <w:szCs w:val="24"/>
        </w:rPr>
        <w:t xml:space="preserve"> </w:t>
      </w:r>
      <w:proofErr w:type="spellStart"/>
      <w:r w:rsidRPr="001643B6">
        <w:rPr>
          <w:rFonts w:ascii="Times New Roman" w:eastAsia="Times New Roman" w:hAnsi="Times New Roman"/>
          <w:color w:val="000000" w:themeColor="text1"/>
          <w:sz w:val="24"/>
          <w:szCs w:val="24"/>
        </w:rPr>
        <w:t>Tổng</w:t>
      </w:r>
      <w:proofErr w:type="spellEnd"/>
      <w:r w:rsidRPr="001643B6">
        <w:rPr>
          <w:rFonts w:ascii="Times New Roman" w:eastAsia="Times New Roman" w:hAnsi="Times New Roman"/>
          <w:color w:val="000000" w:themeColor="text1"/>
          <w:sz w:val="24"/>
          <w:szCs w:val="24"/>
        </w:rPr>
        <w:t xml:space="preserve"> </w:t>
      </w:r>
      <w:proofErr w:type="spellStart"/>
      <w:r w:rsidRPr="001643B6">
        <w:rPr>
          <w:rFonts w:ascii="Times New Roman" w:eastAsia="Times New Roman" w:hAnsi="Times New Roman"/>
          <w:color w:val="000000" w:themeColor="text1"/>
          <w:sz w:val="24"/>
          <w:szCs w:val="24"/>
        </w:rPr>
        <w:t>Cục</w:t>
      </w:r>
      <w:proofErr w:type="spellEnd"/>
      <w:r w:rsidRPr="001643B6">
        <w:rPr>
          <w:rFonts w:ascii="Times New Roman" w:eastAsia="Times New Roman" w:hAnsi="Times New Roman"/>
          <w:color w:val="000000" w:themeColor="text1"/>
          <w:sz w:val="24"/>
          <w:szCs w:val="24"/>
        </w:rPr>
        <w:t xml:space="preserve"> </w:t>
      </w:r>
      <w:proofErr w:type="spellStart"/>
      <w:r w:rsidRPr="001643B6">
        <w:rPr>
          <w:rFonts w:ascii="Times New Roman" w:eastAsia="Times New Roman" w:hAnsi="Times New Roman"/>
          <w:color w:val="000000" w:themeColor="text1"/>
          <w:sz w:val="24"/>
          <w:szCs w:val="24"/>
        </w:rPr>
        <w:t>Thống</w:t>
      </w:r>
      <w:proofErr w:type="spellEnd"/>
      <w:r w:rsidRPr="001643B6">
        <w:rPr>
          <w:rFonts w:ascii="Times New Roman" w:eastAsia="Times New Roman" w:hAnsi="Times New Roman"/>
          <w:color w:val="000000" w:themeColor="text1"/>
          <w:sz w:val="24"/>
          <w:szCs w:val="24"/>
        </w:rPr>
        <w:t xml:space="preserve"> </w:t>
      </w:r>
      <w:proofErr w:type="spellStart"/>
      <w:r w:rsidRPr="001643B6">
        <w:rPr>
          <w:rFonts w:ascii="Times New Roman" w:eastAsia="Times New Roman" w:hAnsi="Times New Roman"/>
          <w:color w:val="000000" w:themeColor="text1"/>
          <w:sz w:val="24"/>
          <w:szCs w:val="24"/>
        </w:rPr>
        <w:t>Kê</w:t>
      </w:r>
      <w:proofErr w:type="spellEnd"/>
      <w:r w:rsidRPr="001643B6">
        <w:rPr>
          <w:rFonts w:ascii="Times New Roman" w:eastAsia="Times New Roman" w:hAnsi="Times New Roman"/>
          <w:color w:val="000000" w:themeColor="text1"/>
          <w:sz w:val="24"/>
          <w:szCs w:val="24"/>
        </w:rPr>
        <w:t xml:space="preserve"> </w:t>
      </w:r>
      <w:proofErr w:type="spellStart"/>
      <w:r w:rsidRPr="001643B6">
        <w:rPr>
          <w:rFonts w:ascii="Times New Roman" w:eastAsia="Times New Roman" w:hAnsi="Times New Roman"/>
          <w:color w:val="000000" w:themeColor="text1"/>
          <w:sz w:val="24"/>
          <w:szCs w:val="24"/>
        </w:rPr>
        <w:t>cho</w:t>
      </w:r>
      <w:proofErr w:type="spellEnd"/>
      <w:r w:rsidRPr="001643B6">
        <w:rPr>
          <w:rFonts w:ascii="Times New Roman" w:eastAsia="Times New Roman" w:hAnsi="Times New Roman"/>
          <w:color w:val="000000" w:themeColor="text1"/>
          <w:sz w:val="24"/>
          <w:szCs w:val="24"/>
        </w:rPr>
        <w:t xml:space="preserve"> </w:t>
      </w:r>
      <w:proofErr w:type="spellStart"/>
      <w:r w:rsidRPr="001643B6">
        <w:rPr>
          <w:rFonts w:ascii="Times New Roman" w:eastAsia="Times New Roman" w:hAnsi="Times New Roman"/>
          <w:color w:val="000000" w:themeColor="text1"/>
          <w:sz w:val="24"/>
          <w:szCs w:val="24"/>
        </w:rPr>
        <w:t>thấy</w:t>
      </w:r>
      <w:proofErr w:type="spellEnd"/>
      <w:r w:rsidRPr="001643B6">
        <w:rPr>
          <w:rFonts w:ascii="Times New Roman" w:eastAsia="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tính</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đến</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ngày</w:t>
      </w:r>
      <w:proofErr w:type="spellEnd"/>
      <w:r w:rsidRPr="007B4CD2">
        <w:rPr>
          <w:rFonts w:ascii="Times New Roman" w:hAnsi="Times New Roman"/>
          <w:color w:val="000000" w:themeColor="text1"/>
          <w:sz w:val="24"/>
          <w:szCs w:val="24"/>
        </w:rPr>
        <w:t xml:space="preserve"> 20/12/2023 bao </w:t>
      </w:r>
      <w:proofErr w:type="spellStart"/>
      <w:r w:rsidRPr="007B4CD2">
        <w:rPr>
          <w:rFonts w:ascii="Times New Roman" w:hAnsi="Times New Roman"/>
          <w:color w:val="000000" w:themeColor="text1"/>
          <w:sz w:val="24"/>
          <w:szCs w:val="24"/>
        </w:rPr>
        <w:t>gồm</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Vốn</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đăng</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ký</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cấp</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mới</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vốn</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đăng</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ký</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điều</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chỉnh</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và</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giá</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trị</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góp</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vốn</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mua</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cổ</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phần</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của</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nhà</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đầu</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tư</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nước</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ngoài</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đạt</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gần</w:t>
      </w:r>
      <w:proofErr w:type="spellEnd"/>
      <w:r w:rsidRPr="007B4CD2">
        <w:rPr>
          <w:rFonts w:ascii="Times New Roman" w:hAnsi="Times New Roman"/>
          <w:color w:val="000000" w:themeColor="text1"/>
          <w:sz w:val="24"/>
          <w:szCs w:val="24"/>
        </w:rPr>
        <w:t xml:space="preserve"> 36,6 </w:t>
      </w:r>
      <w:proofErr w:type="spellStart"/>
      <w:r w:rsidRPr="007B4CD2">
        <w:rPr>
          <w:rFonts w:ascii="Times New Roman" w:hAnsi="Times New Roman"/>
          <w:color w:val="000000" w:themeColor="text1"/>
          <w:sz w:val="24"/>
          <w:szCs w:val="24"/>
        </w:rPr>
        <w:t>tỷ</w:t>
      </w:r>
      <w:proofErr w:type="spellEnd"/>
      <w:r w:rsidRPr="007B4CD2">
        <w:rPr>
          <w:rFonts w:ascii="Times New Roman" w:hAnsi="Times New Roman"/>
          <w:color w:val="000000" w:themeColor="text1"/>
          <w:sz w:val="24"/>
          <w:szCs w:val="24"/>
        </w:rPr>
        <w:t xml:space="preserve"> USD, </w:t>
      </w:r>
      <w:proofErr w:type="spellStart"/>
      <w:r w:rsidRPr="007B4CD2">
        <w:rPr>
          <w:rFonts w:ascii="Times New Roman" w:hAnsi="Times New Roman"/>
          <w:color w:val="000000" w:themeColor="text1"/>
          <w:sz w:val="24"/>
          <w:szCs w:val="24"/>
        </w:rPr>
        <w:t>tăng</w:t>
      </w:r>
      <w:proofErr w:type="spellEnd"/>
      <w:r w:rsidRPr="007B4CD2">
        <w:rPr>
          <w:rFonts w:ascii="Times New Roman" w:hAnsi="Times New Roman"/>
          <w:color w:val="000000" w:themeColor="text1"/>
          <w:sz w:val="24"/>
          <w:szCs w:val="24"/>
        </w:rPr>
        <w:t xml:space="preserve"> 32,1% so </w:t>
      </w:r>
      <w:proofErr w:type="spellStart"/>
      <w:r w:rsidRPr="007B4CD2">
        <w:rPr>
          <w:rFonts w:ascii="Times New Roman" w:hAnsi="Times New Roman"/>
          <w:color w:val="000000" w:themeColor="text1"/>
          <w:sz w:val="24"/>
          <w:szCs w:val="24"/>
        </w:rPr>
        <w:t>với</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năm</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trước</w:t>
      </w:r>
      <w:proofErr w:type="spellEnd"/>
      <w:r w:rsidRPr="001643B6">
        <w:rPr>
          <w:rFonts w:ascii="Times New Roman" w:hAnsi="Times New Roman"/>
          <w:color w:val="000000" w:themeColor="text1"/>
          <w:sz w:val="24"/>
          <w:szCs w:val="24"/>
        </w:rPr>
        <w:t xml:space="preserve">. Trong </w:t>
      </w:r>
      <w:proofErr w:type="spellStart"/>
      <w:r w:rsidRPr="001643B6">
        <w:rPr>
          <w:rFonts w:ascii="Times New Roman" w:hAnsi="Times New Roman"/>
          <w:color w:val="000000" w:themeColor="text1"/>
          <w:sz w:val="24"/>
          <w:szCs w:val="24"/>
        </w:rPr>
        <w:t>khi</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đó</w:t>
      </w:r>
      <w:proofErr w:type="spellEnd"/>
      <w:r w:rsidRPr="001643B6">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vốn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thực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hiện</w:t>
      </w:r>
      <w:proofErr w:type="spellEnd"/>
      <w:r>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năm</w:t>
      </w:r>
      <w:proofErr w:type="spellEnd"/>
      <w:r w:rsidRPr="007B4CD2">
        <w:rPr>
          <w:rFonts w:ascii="Times New Roman" w:hAnsi="Times New Roman"/>
          <w:color w:val="000000" w:themeColor="text1"/>
          <w:sz w:val="24"/>
          <w:szCs w:val="24"/>
        </w:rPr>
        <w:t xml:space="preserve"> 2023 </w:t>
      </w:r>
      <w:proofErr w:type="spellStart"/>
      <w:r w:rsidRPr="007B4CD2">
        <w:rPr>
          <w:rFonts w:ascii="Times New Roman" w:hAnsi="Times New Roman"/>
          <w:color w:val="000000" w:themeColor="text1"/>
          <w:sz w:val="24"/>
          <w:szCs w:val="24"/>
        </w:rPr>
        <w:t>ước</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đạt</w:t>
      </w:r>
      <w:proofErr w:type="spellEnd"/>
      <w:r w:rsidRPr="007B4CD2">
        <w:rPr>
          <w:rFonts w:ascii="Times New Roman" w:hAnsi="Times New Roman"/>
          <w:color w:val="000000" w:themeColor="text1"/>
          <w:sz w:val="24"/>
          <w:szCs w:val="24"/>
        </w:rPr>
        <w:t xml:space="preserve"> 23,18 </w:t>
      </w:r>
      <w:proofErr w:type="spellStart"/>
      <w:r w:rsidRPr="007B4CD2">
        <w:rPr>
          <w:rFonts w:ascii="Times New Roman" w:hAnsi="Times New Roman"/>
          <w:color w:val="000000" w:themeColor="text1"/>
          <w:sz w:val="24"/>
          <w:szCs w:val="24"/>
        </w:rPr>
        <w:t>tỷ</w:t>
      </w:r>
      <w:proofErr w:type="spellEnd"/>
      <w:r w:rsidRPr="007B4CD2">
        <w:rPr>
          <w:rFonts w:ascii="Times New Roman" w:hAnsi="Times New Roman"/>
          <w:color w:val="000000" w:themeColor="text1"/>
          <w:sz w:val="24"/>
          <w:szCs w:val="24"/>
        </w:rPr>
        <w:t xml:space="preserve"> USD, </w:t>
      </w:r>
      <w:proofErr w:type="spellStart"/>
      <w:r w:rsidRPr="007B4CD2">
        <w:rPr>
          <w:rFonts w:ascii="Times New Roman" w:hAnsi="Times New Roman"/>
          <w:color w:val="000000" w:themeColor="text1"/>
          <w:sz w:val="24"/>
          <w:szCs w:val="24"/>
        </w:rPr>
        <w:t>tăng</w:t>
      </w:r>
      <w:proofErr w:type="spellEnd"/>
      <w:r w:rsidRPr="007B4CD2">
        <w:rPr>
          <w:rFonts w:ascii="Times New Roman" w:hAnsi="Times New Roman"/>
          <w:color w:val="000000" w:themeColor="text1"/>
          <w:sz w:val="24"/>
          <w:szCs w:val="24"/>
        </w:rPr>
        <w:t xml:space="preserve"> 3,5% so </w:t>
      </w:r>
      <w:proofErr w:type="spellStart"/>
      <w:r w:rsidRPr="007B4CD2">
        <w:rPr>
          <w:rFonts w:ascii="Times New Roman" w:hAnsi="Times New Roman"/>
          <w:color w:val="000000" w:themeColor="text1"/>
          <w:sz w:val="24"/>
          <w:szCs w:val="24"/>
        </w:rPr>
        <w:t>với</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năm</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trước</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Đây</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là</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số</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vốn</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đầu</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tư</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trực</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tiếp</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nước</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ngoài</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thực</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hiện</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cao</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nhất</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trong</w:t>
      </w:r>
      <w:proofErr w:type="spellEnd"/>
      <w:r w:rsidRPr="007B4CD2">
        <w:rPr>
          <w:rFonts w:ascii="Times New Roman" w:hAnsi="Times New Roman"/>
          <w:color w:val="000000" w:themeColor="text1"/>
          <w:sz w:val="24"/>
          <w:szCs w:val="24"/>
        </w:rPr>
        <w:t xml:space="preserve"> 5 </w:t>
      </w:r>
      <w:proofErr w:type="spellStart"/>
      <w:r w:rsidRPr="007B4CD2">
        <w:rPr>
          <w:rFonts w:ascii="Times New Roman" w:hAnsi="Times New Roman"/>
          <w:color w:val="000000" w:themeColor="text1"/>
          <w:sz w:val="24"/>
          <w:szCs w:val="24"/>
        </w:rPr>
        <w:t>năm</w:t>
      </w:r>
      <w:proofErr w:type="spellEnd"/>
      <w:r w:rsidRPr="007B4CD2">
        <w:rPr>
          <w:rFonts w:ascii="Times New Roman" w:hAnsi="Times New Roman"/>
          <w:color w:val="000000" w:themeColor="text1"/>
          <w:sz w:val="24"/>
          <w:szCs w:val="24"/>
        </w:rPr>
        <w:t xml:space="preserve"> qua.</w:t>
      </w:r>
      <w:r w:rsidRPr="001643B6">
        <w:rPr>
          <w:rFonts w:ascii="Times New Roman" w:hAnsi="Times New Roman"/>
          <w:color w:val="FF0000"/>
          <w:sz w:val="24"/>
          <w:szCs w:val="24"/>
        </w:rPr>
        <w:t xml:space="preserve"> </w:t>
      </w:r>
      <w:proofErr w:type="spellStart"/>
      <w:r w:rsidRPr="00877951">
        <w:rPr>
          <w:rFonts w:ascii="Times New Roman" w:hAnsi="Times New Roman"/>
          <w:sz w:val="24"/>
          <w:szCs w:val="24"/>
        </w:rPr>
        <w:t>Bên</w:t>
      </w:r>
      <w:proofErr w:type="spellEnd"/>
      <w:r w:rsidRPr="00877951">
        <w:rPr>
          <w:rFonts w:ascii="Times New Roman" w:hAnsi="Times New Roman"/>
          <w:sz w:val="24"/>
          <w:szCs w:val="24"/>
        </w:rPr>
        <w:t xml:space="preserve"> </w:t>
      </w:r>
      <w:proofErr w:type="spellStart"/>
      <w:r w:rsidRPr="00877951">
        <w:rPr>
          <w:rFonts w:ascii="Times New Roman" w:hAnsi="Times New Roman"/>
          <w:sz w:val="24"/>
          <w:szCs w:val="24"/>
        </w:rPr>
        <w:t>cạnh</w:t>
      </w:r>
      <w:proofErr w:type="spellEnd"/>
      <w:r w:rsidRPr="00877951">
        <w:rPr>
          <w:rFonts w:ascii="Times New Roman" w:hAnsi="Times New Roman"/>
          <w:sz w:val="24"/>
          <w:szCs w:val="24"/>
        </w:rPr>
        <w:t xml:space="preserve"> </w:t>
      </w:r>
      <w:proofErr w:type="spellStart"/>
      <w:r w:rsidRPr="00877951">
        <w:rPr>
          <w:rFonts w:ascii="Times New Roman" w:hAnsi="Times New Roman"/>
          <w:sz w:val="24"/>
          <w:szCs w:val="24"/>
        </w:rPr>
        <w:t>thu</w:t>
      </w:r>
      <w:proofErr w:type="spellEnd"/>
      <w:r w:rsidRPr="00877951">
        <w:rPr>
          <w:rFonts w:ascii="Times New Roman" w:hAnsi="Times New Roman"/>
          <w:sz w:val="24"/>
          <w:szCs w:val="24"/>
        </w:rPr>
        <w:t xml:space="preserve"> </w:t>
      </w:r>
      <w:proofErr w:type="spellStart"/>
      <w:r w:rsidRPr="00877951">
        <w:rPr>
          <w:rFonts w:ascii="Times New Roman" w:hAnsi="Times New Roman"/>
          <w:sz w:val="24"/>
          <w:szCs w:val="24"/>
        </w:rPr>
        <w:t>hút</w:t>
      </w:r>
      <w:proofErr w:type="spellEnd"/>
      <w:r w:rsidRPr="00877951">
        <w:rPr>
          <w:rFonts w:ascii="Times New Roman" w:hAnsi="Times New Roman"/>
          <w:sz w:val="24"/>
          <w:szCs w:val="24"/>
        </w:rPr>
        <w:t xml:space="preserve"> FDI, </w:t>
      </w:r>
      <w:proofErr w:type="spellStart"/>
      <w:r w:rsidRPr="00877951">
        <w:rPr>
          <w:rFonts w:ascii="Times New Roman" w:hAnsi="Times New Roman"/>
          <w:sz w:val="24"/>
          <w:szCs w:val="24"/>
        </w:rPr>
        <w:t>kiểm</w:t>
      </w:r>
      <w:proofErr w:type="spellEnd"/>
      <w:r w:rsidRPr="00877951">
        <w:rPr>
          <w:rFonts w:ascii="Times New Roman" w:hAnsi="Times New Roman"/>
          <w:sz w:val="24"/>
          <w:szCs w:val="24"/>
        </w:rPr>
        <w:t xml:space="preserve"> </w:t>
      </w:r>
      <w:proofErr w:type="spellStart"/>
      <w:r w:rsidRPr="00877951">
        <w:rPr>
          <w:rFonts w:ascii="Times New Roman" w:hAnsi="Times New Roman"/>
          <w:sz w:val="24"/>
          <w:szCs w:val="24"/>
        </w:rPr>
        <w:t>soát</w:t>
      </w:r>
      <w:proofErr w:type="spellEnd"/>
      <w:r w:rsidRPr="00877951">
        <w:rPr>
          <w:rFonts w:ascii="Times New Roman" w:hAnsi="Times New Roman"/>
          <w:sz w:val="24"/>
          <w:szCs w:val="24"/>
        </w:rPr>
        <w:t xml:space="preserve"> </w:t>
      </w:r>
      <w:proofErr w:type="spellStart"/>
      <w:r w:rsidRPr="00877951">
        <w:rPr>
          <w:rFonts w:ascii="Times New Roman" w:hAnsi="Times New Roman"/>
          <w:sz w:val="24"/>
          <w:szCs w:val="24"/>
        </w:rPr>
        <w:t>lạm</w:t>
      </w:r>
      <w:proofErr w:type="spellEnd"/>
      <w:r w:rsidRPr="00877951">
        <w:rPr>
          <w:rFonts w:ascii="Times New Roman" w:hAnsi="Times New Roman"/>
          <w:sz w:val="24"/>
          <w:szCs w:val="24"/>
        </w:rPr>
        <w:t xml:space="preserve"> </w:t>
      </w:r>
      <w:proofErr w:type="spellStart"/>
      <w:r w:rsidRPr="001643B6">
        <w:rPr>
          <w:rFonts w:ascii="Times New Roman" w:hAnsi="Times New Roman"/>
          <w:color w:val="000000" w:themeColor="text1"/>
          <w:sz w:val="24"/>
          <w:szCs w:val="24"/>
        </w:rPr>
        <w:t>phát</w:t>
      </w:r>
      <w:proofErr w:type="spellEnd"/>
      <w:r w:rsidRPr="001643B6">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của</w:t>
      </w:r>
      <w:proofErr w:type="spellEnd"/>
      <w:r>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năm</w:t>
      </w:r>
      <w:proofErr w:type="spellEnd"/>
      <w:r w:rsidRPr="001643B6">
        <w:rPr>
          <w:rFonts w:ascii="Times New Roman" w:hAnsi="Times New Roman"/>
          <w:color w:val="000000" w:themeColor="text1"/>
          <w:sz w:val="24"/>
          <w:szCs w:val="24"/>
        </w:rPr>
        <w:t xml:space="preserve"> 2023 </w:t>
      </w:r>
      <w:proofErr w:type="spellStart"/>
      <w:r>
        <w:rPr>
          <w:rFonts w:ascii="Times New Roman" w:hAnsi="Times New Roman"/>
          <w:color w:val="000000" w:themeColor="text1"/>
          <w:sz w:val="24"/>
          <w:szCs w:val="24"/>
        </w:rPr>
        <w:t>là</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điểm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sáng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tích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cực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lạm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phát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tháng</w:t>
      </w:r>
      <w:proofErr w:type="spellEnd"/>
      <w:r>
        <w:rPr>
          <w:rFonts w:ascii="Times New Roman" w:hAnsi="Times New Roman"/>
          <w:color w:val="000000" w:themeColor="text1"/>
          <w:sz w:val="24"/>
          <w:szCs w:val="24"/>
        </w:rPr>
        <w:t xml:space="preserve"> 12 </w:t>
      </w:r>
      <w:proofErr w:type="spellStart"/>
      <w:r>
        <w:rPr>
          <w:rFonts w:ascii="Times New Roman" w:hAnsi="Times New Roman"/>
          <w:color w:val="000000" w:themeColor="text1"/>
          <w:sz w:val="24"/>
          <w:szCs w:val="24"/>
        </w:rPr>
        <w:t>tăng</w:t>
      </w:r>
      <w:proofErr w:type="spellEnd"/>
      <w:r>
        <w:rPr>
          <w:rFonts w:ascii="Times New Roman" w:hAnsi="Times New Roman"/>
          <w:color w:val="000000" w:themeColor="text1"/>
          <w:sz w:val="24"/>
          <w:szCs w:val="24"/>
        </w:rPr>
        <w:t xml:space="preserve"> 0,12% so </w:t>
      </w:r>
      <w:proofErr w:type="spellStart"/>
      <w:r>
        <w:rPr>
          <w:rFonts w:ascii="Times New Roman" w:hAnsi="Times New Roman"/>
          <w:color w:val="000000" w:themeColor="text1"/>
          <w:sz w:val="24"/>
          <w:szCs w:val="24"/>
        </w:rPr>
        <w:t>với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tháng</w:t>
      </w:r>
      <w:proofErr w:type="spellEnd"/>
      <w:r>
        <w:rPr>
          <w:rFonts w:ascii="Times New Roman" w:hAnsi="Times New Roman"/>
          <w:color w:val="000000" w:themeColor="text1"/>
          <w:sz w:val="24"/>
          <w:szCs w:val="24"/>
        </w:rPr>
        <w:t xml:space="preserve"> 11 </w:t>
      </w:r>
      <w:proofErr w:type="spellStart"/>
      <w:r>
        <w:rPr>
          <w:rFonts w:ascii="Times New Roman" w:hAnsi="Times New Roman"/>
          <w:color w:val="000000" w:themeColor="text1"/>
          <w:sz w:val="24"/>
          <w:szCs w:val="24"/>
        </w:rPr>
        <w:t>và</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tương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ứng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tăng</w:t>
      </w:r>
      <w:proofErr w:type="spellEnd"/>
      <w:r>
        <w:rPr>
          <w:rFonts w:ascii="Times New Roman" w:hAnsi="Times New Roman"/>
          <w:color w:val="000000" w:themeColor="text1"/>
          <w:sz w:val="24"/>
          <w:szCs w:val="24"/>
        </w:rPr>
        <w:t xml:space="preserve"> 3,58% so </w:t>
      </w:r>
      <w:proofErr w:type="spellStart"/>
      <w:r>
        <w:rPr>
          <w:rFonts w:ascii="Times New Roman" w:hAnsi="Times New Roman"/>
          <w:color w:val="000000" w:themeColor="text1"/>
          <w:sz w:val="24"/>
          <w:szCs w:val="24"/>
        </w:rPr>
        <w:t>với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cùng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kỳ</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năm</w:t>
      </w:r>
      <w:proofErr w:type="spellEnd"/>
      <w:r>
        <w:rPr>
          <w:rFonts w:ascii="Times New Roman" w:hAnsi="Times New Roman"/>
          <w:color w:val="000000" w:themeColor="text1"/>
          <w:sz w:val="24"/>
          <w:szCs w:val="24"/>
        </w:rPr>
        <w:t xml:space="preserve"> 2022. </w:t>
      </w:r>
      <w:proofErr w:type="spellStart"/>
      <w:r w:rsidRPr="00877951">
        <w:rPr>
          <w:rFonts w:ascii="Times New Roman" w:hAnsi="Times New Roman"/>
          <w:color w:val="000000" w:themeColor="text1"/>
          <w:sz w:val="24"/>
          <w:szCs w:val="24"/>
        </w:rPr>
        <w:t>Tính</w:t>
      </w:r>
      <w:proofErr w:type="spellEnd"/>
      <w:r w:rsidRPr="00877951">
        <w:rPr>
          <w:rFonts w:ascii="Times New Roman" w:hAnsi="Times New Roman"/>
          <w:color w:val="000000" w:themeColor="text1"/>
          <w:sz w:val="24"/>
          <w:szCs w:val="24"/>
        </w:rPr>
        <w:t xml:space="preserve"> </w:t>
      </w:r>
      <w:proofErr w:type="spellStart"/>
      <w:r w:rsidRPr="00877951">
        <w:rPr>
          <w:rFonts w:ascii="Times New Roman" w:hAnsi="Times New Roman"/>
          <w:color w:val="000000" w:themeColor="text1"/>
          <w:sz w:val="24"/>
          <w:szCs w:val="24"/>
        </w:rPr>
        <w:t>chung</w:t>
      </w:r>
      <w:proofErr w:type="spellEnd"/>
      <w:r w:rsidRPr="00877951">
        <w:rPr>
          <w:rFonts w:ascii="Times New Roman" w:hAnsi="Times New Roman"/>
          <w:color w:val="000000" w:themeColor="text1"/>
          <w:sz w:val="24"/>
          <w:szCs w:val="24"/>
        </w:rPr>
        <w:t xml:space="preserve"> </w:t>
      </w:r>
      <w:proofErr w:type="spellStart"/>
      <w:r w:rsidRPr="00877951">
        <w:rPr>
          <w:rFonts w:ascii="Times New Roman" w:hAnsi="Times New Roman"/>
          <w:color w:val="000000" w:themeColor="text1"/>
          <w:sz w:val="24"/>
          <w:szCs w:val="24"/>
        </w:rPr>
        <w:t>cả</w:t>
      </w:r>
      <w:proofErr w:type="spellEnd"/>
      <w:r w:rsidRPr="00877951">
        <w:rPr>
          <w:rFonts w:ascii="Times New Roman" w:hAnsi="Times New Roman"/>
          <w:color w:val="000000" w:themeColor="text1"/>
          <w:sz w:val="24"/>
          <w:szCs w:val="24"/>
        </w:rPr>
        <w:t xml:space="preserve"> </w:t>
      </w:r>
      <w:proofErr w:type="spellStart"/>
      <w:r w:rsidRPr="00877951">
        <w:rPr>
          <w:rFonts w:ascii="Times New Roman" w:hAnsi="Times New Roman"/>
          <w:color w:val="000000" w:themeColor="text1"/>
          <w:sz w:val="24"/>
          <w:szCs w:val="24"/>
        </w:rPr>
        <w:t>năm</w:t>
      </w:r>
      <w:proofErr w:type="spellEnd"/>
      <w:r w:rsidRPr="00877951">
        <w:rPr>
          <w:rFonts w:ascii="Times New Roman" w:hAnsi="Times New Roman"/>
          <w:color w:val="000000" w:themeColor="text1"/>
          <w:sz w:val="24"/>
          <w:szCs w:val="24"/>
        </w:rPr>
        <w:t xml:space="preserve"> 2023, CPI </w:t>
      </w:r>
      <w:proofErr w:type="spellStart"/>
      <w:r w:rsidRPr="00877951">
        <w:rPr>
          <w:rFonts w:ascii="Times New Roman" w:hAnsi="Times New Roman"/>
          <w:color w:val="000000" w:themeColor="text1"/>
          <w:sz w:val="24"/>
          <w:szCs w:val="24"/>
        </w:rPr>
        <w:t>tăng</w:t>
      </w:r>
      <w:proofErr w:type="spellEnd"/>
      <w:r w:rsidRPr="00877951">
        <w:rPr>
          <w:rFonts w:ascii="Times New Roman" w:hAnsi="Times New Roman"/>
          <w:color w:val="000000" w:themeColor="text1"/>
          <w:sz w:val="24"/>
          <w:szCs w:val="24"/>
        </w:rPr>
        <w:t xml:space="preserve"> 3,25% so </w:t>
      </w:r>
      <w:proofErr w:type="spellStart"/>
      <w:r w:rsidRPr="00877951">
        <w:rPr>
          <w:rFonts w:ascii="Times New Roman" w:hAnsi="Times New Roman"/>
          <w:color w:val="000000" w:themeColor="text1"/>
          <w:sz w:val="24"/>
          <w:szCs w:val="24"/>
        </w:rPr>
        <w:t>với</w:t>
      </w:r>
      <w:proofErr w:type="spellEnd"/>
      <w:r w:rsidRPr="00877951">
        <w:rPr>
          <w:rFonts w:ascii="Times New Roman" w:hAnsi="Times New Roman"/>
          <w:color w:val="000000" w:themeColor="text1"/>
          <w:sz w:val="24"/>
          <w:szCs w:val="24"/>
        </w:rPr>
        <w:t xml:space="preserve"> </w:t>
      </w:r>
      <w:proofErr w:type="spellStart"/>
      <w:r w:rsidRPr="00877951">
        <w:rPr>
          <w:rFonts w:ascii="Times New Roman" w:hAnsi="Times New Roman"/>
          <w:color w:val="000000" w:themeColor="text1"/>
          <w:sz w:val="24"/>
          <w:szCs w:val="24"/>
        </w:rPr>
        <w:t>năm</w:t>
      </w:r>
      <w:proofErr w:type="spellEnd"/>
      <w:r w:rsidRPr="00877951">
        <w:rPr>
          <w:rFonts w:ascii="Times New Roman" w:hAnsi="Times New Roman"/>
          <w:color w:val="000000" w:themeColor="text1"/>
          <w:sz w:val="24"/>
          <w:szCs w:val="24"/>
        </w:rPr>
        <w:t xml:space="preserve"> </w:t>
      </w:r>
      <w:proofErr w:type="spellStart"/>
      <w:r w:rsidRPr="00877951">
        <w:rPr>
          <w:rFonts w:ascii="Times New Roman" w:hAnsi="Times New Roman"/>
          <w:color w:val="000000" w:themeColor="text1"/>
          <w:sz w:val="24"/>
          <w:szCs w:val="24"/>
        </w:rPr>
        <w:t>trước</w:t>
      </w:r>
      <w:proofErr w:type="spellEnd"/>
      <w:r w:rsidRPr="00877951">
        <w:rPr>
          <w:rFonts w:ascii="Times New Roman" w:hAnsi="Times New Roman"/>
          <w:color w:val="000000" w:themeColor="text1"/>
          <w:sz w:val="24"/>
          <w:szCs w:val="24"/>
        </w:rPr>
        <w:t xml:space="preserve">, </w:t>
      </w:r>
      <w:proofErr w:type="spellStart"/>
      <w:r w:rsidRPr="00877951">
        <w:rPr>
          <w:rFonts w:ascii="Times New Roman" w:hAnsi="Times New Roman"/>
          <w:color w:val="000000" w:themeColor="text1"/>
          <w:sz w:val="24"/>
          <w:szCs w:val="24"/>
        </w:rPr>
        <w:t>đạt</w:t>
      </w:r>
      <w:proofErr w:type="spellEnd"/>
      <w:r w:rsidRPr="00877951">
        <w:rPr>
          <w:rFonts w:ascii="Times New Roman" w:hAnsi="Times New Roman"/>
          <w:color w:val="000000" w:themeColor="text1"/>
          <w:sz w:val="24"/>
          <w:szCs w:val="24"/>
        </w:rPr>
        <w:t xml:space="preserve"> </w:t>
      </w:r>
      <w:proofErr w:type="spellStart"/>
      <w:r w:rsidRPr="00877951">
        <w:rPr>
          <w:rFonts w:ascii="Times New Roman" w:hAnsi="Times New Roman"/>
          <w:color w:val="000000" w:themeColor="text1"/>
          <w:sz w:val="24"/>
          <w:szCs w:val="24"/>
        </w:rPr>
        <w:t>mục</w:t>
      </w:r>
      <w:proofErr w:type="spellEnd"/>
      <w:r w:rsidRPr="00877951">
        <w:rPr>
          <w:rFonts w:ascii="Times New Roman" w:hAnsi="Times New Roman"/>
          <w:color w:val="000000" w:themeColor="text1"/>
          <w:sz w:val="24"/>
          <w:szCs w:val="24"/>
        </w:rPr>
        <w:t xml:space="preserve"> </w:t>
      </w:r>
      <w:proofErr w:type="spellStart"/>
      <w:r w:rsidRPr="00877951">
        <w:rPr>
          <w:rFonts w:ascii="Times New Roman" w:hAnsi="Times New Roman"/>
          <w:color w:val="000000" w:themeColor="text1"/>
          <w:sz w:val="24"/>
          <w:szCs w:val="24"/>
        </w:rPr>
        <w:t>tiêu</w:t>
      </w:r>
      <w:proofErr w:type="spellEnd"/>
      <w:r w:rsidRPr="00877951">
        <w:rPr>
          <w:rFonts w:ascii="Times New Roman" w:hAnsi="Times New Roman"/>
          <w:color w:val="000000" w:themeColor="text1"/>
          <w:sz w:val="24"/>
          <w:szCs w:val="24"/>
        </w:rPr>
        <w:t xml:space="preserve"> Quốc </w:t>
      </w:r>
      <w:proofErr w:type="spellStart"/>
      <w:r w:rsidRPr="00877951">
        <w:rPr>
          <w:rFonts w:ascii="Times New Roman" w:hAnsi="Times New Roman"/>
          <w:color w:val="000000" w:themeColor="text1"/>
          <w:sz w:val="24"/>
          <w:szCs w:val="24"/>
        </w:rPr>
        <w:t>hội</w:t>
      </w:r>
      <w:proofErr w:type="spellEnd"/>
      <w:r w:rsidRPr="00877951">
        <w:rPr>
          <w:rFonts w:ascii="Times New Roman" w:hAnsi="Times New Roman"/>
          <w:color w:val="000000" w:themeColor="text1"/>
          <w:sz w:val="24"/>
          <w:szCs w:val="24"/>
        </w:rPr>
        <w:t xml:space="preserve"> </w:t>
      </w:r>
      <w:proofErr w:type="spellStart"/>
      <w:r w:rsidRPr="00877951">
        <w:rPr>
          <w:rFonts w:ascii="Times New Roman" w:hAnsi="Times New Roman"/>
          <w:color w:val="000000" w:themeColor="text1"/>
          <w:sz w:val="24"/>
          <w:szCs w:val="24"/>
        </w:rPr>
        <w:t>đề</w:t>
      </w:r>
      <w:proofErr w:type="spellEnd"/>
      <w:r w:rsidRPr="00877951">
        <w:rPr>
          <w:rFonts w:ascii="Times New Roman" w:hAnsi="Times New Roman"/>
          <w:color w:val="000000" w:themeColor="text1"/>
          <w:sz w:val="24"/>
          <w:szCs w:val="24"/>
        </w:rPr>
        <w:t xml:space="preserve"> </w:t>
      </w:r>
      <w:proofErr w:type="spellStart"/>
      <w:r w:rsidRPr="00877951">
        <w:rPr>
          <w:rFonts w:ascii="Times New Roman" w:hAnsi="Times New Roman"/>
          <w:color w:val="000000" w:themeColor="text1"/>
          <w:sz w:val="24"/>
          <w:szCs w:val="24"/>
        </w:rPr>
        <w:t>ra</w:t>
      </w:r>
      <w:r w:rsidRPr="001643B6">
        <w:rPr>
          <w:rFonts w:ascii="Times New Roman" w:hAnsi="Times New Roman"/>
          <w:color w:val="000000" w:themeColor="text1"/>
          <w:sz w:val="24"/>
          <w:szCs w:val="24"/>
        </w:rPr>
        <w:t>.</w:t>
      </w:r>
      <w:proofErr w:type="spellEnd"/>
    </w:p>
    <w:bookmarkEnd w:id="1"/>
    <w:p w14:paraId="7E66A0C2" w14:textId="77777777" w:rsidR="00A26229" w:rsidRPr="00A90AB7" w:rsidRDefault="00A26229" w:rsidP="00A26229">
      <w:pPr>
        <w:shd w:val="clear" w:color="auto" w:fill="FFFFFF"/>
        <w:tabs>
          <w:tab w:val="left" w:pos="540"/>
        </w:tabs>
        <w:spacing w:before="120" w:after="0" w:line="240" w:lineRule="auto"/>
        <w:jc w:val="both"/>
        <w:rPr>
          <w:rFonts w:ascii="Times New Roman" w:hAnsi="Times New Roman"/>
          <w:sz w:val="24"/>
          <w:szCs w:val="24"/>
          <w:lang w:val="nl-NL"/>
        </w:rPr>
      </w:pPr>
    </w:p>
    <w:p w14:paraId="6F7298ED" w14:textId="76766261" w:rsidR="00BE6F63" w:rsidRPr="00A90AB7" w:rsidRDefault="00A44447" w:rsidP="00315A8E">
      <w:pPr>
        <w:shd w:val="clear" w:color="auto" w:fill="FFFFFF"/>
        <w:tabs>
          <w:tab w:val="left" w:pos="540"/>
        </w:tabs>
        <w:spacing w:after="0" w:line="240" w:lineRule="auto"/>
        <w:jc w:val="both"/>
        <w:rPr>
          <w:rFonts w:ascii="Times New Roman" w:hAnsi="Times New Roman"/>
          <w:sz w:val="24"/>
          <w:szCs w:val="24"/>
          <w:lang w:val="nl-NL"/>
        </w:rPr>
      </w:pPr>
      <w:r>
        <w:rPr>
          <w:rFonts w:ascii="Times New Roman" w:hAnsi="Times New Roman"/>
          <w:b/>
          <w:sz w:val="24"/>
          <w:szCs w:val="24"/>
          <w:lang w:val="nl-NL"/>
        </w:rPr>
        <w:t>4</w:t>
      </w:r>
      <w:r w:rsidR="00BE6F63" w:rsidRPr="00A90AB7">
        <w:rPr>
          <w:rFonts w:ascii="Times New Roman" w:hAnsi="Times New Roman"/>
          <w:b/>
          <w:sz w:val="24"/>
          <w:szCs w:val="24"/>
          <w:lang w:val="nl-NL"/>
        </w:rPr>
        <w:t>. Chi tiết các chỉ tiêu hoạt động của quỹ</w:t>
      </w:r>
      <w:r w:rsidR="00BE6F63" w:rsidRPr="00A90AB7">
        <w:rPr>
          <w:rFonts w:ascii="Times New Roman" w:hAnsi="Times New Roman"/>
          <w:sz w:val="24"/>
          <w:szCs w:val="24"/>
          <w:lang w:val="nl-NL"/>
        </w:rPr>
        <w:t>:</w:t>
      </w:r>
    </w:p>
    <w:p w14:paraId="1A61AB85" w14:textId="77777777"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9A46F6">
        <w:rPr>
          <w:rFonts w:ascii="Times New Roman" w:hAnsi="Times New Roman"/>
          <w:b/>
          <w:sz w:val="24"/>
          <w:szCs w:val="24"/>
          <w:lang w:val="nl-NL"/>
        </w:rPr>
        <w:t>4.1. Số liệu chi tiết hoạt động của Quỹ</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508"/>
        <w:gridCol w:w="1822"/>
        <w:gridCol w:w="1916"/>
        <w:gridCol w:w="2108"/>
      </w:tblGrid>
      <w:tr w:rsidR="00BE6F63" w:rsidRPr="00A90AB7" w14:paraId="469C209E" w14:textId="77777777" w:rsidTr="00181C49">
        <w:tc>
          <w:tcPr>
            <w:tcW w:w="1875" w:type="pct"/>
            <w:shd w:val="clear" w:color="auto" w:fill="auto"/>
            <w:vAlign w:val="center"/>
          </w:tcPr>
          <w:p w14:paraId="2FFDC4B1"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Chỉ tiêu</w:t>
            </w:r>
          </w:p>
        </w:tc>
        <w:tc>
          <w:tcPr>
            <w:tcW w:w="974" w:type="pct"/>
            <w:shd w:val="clear" w:color="auto" w:fill="auto"/>
            <w:vAlign w:val="center"/>
          </w:tcPr>
          <w:p w14:paraId="356F76B2"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 năm đến thời điểm báo cáo (%)</w:t>
            </w:r>
          </w:p>
        </w:tc>
        <w:tc>
          <w:tcPr>
            <w:tcW w:w="1024" w:type="pct"/>
            <w:shd w:val="clear" w:color="auto" w:fill="auto"/>
            <w:vAlign w:val="center"/>
          </w:tcPr>
          <w:p w14:paraId="10294D94"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 năm gần nhất tính đến thời điểm báo cáo (%)</w:t>
            </w:r>
          </w:p>
        </w:tc>
        <w:tc>
          <w:tcPr>
            <w:tcW w:w="1127" w:type="pct"/>
            <w:shd w:val="clear" w:color="auto" w:fill="auto"/>
            <w:vAlign w:val="center"/>
          </w:tcPr>
          <w:p w14:paraId="1B91E21D"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Từ khi thành lập đến thời điểm báo cáo (%)</w:t>
            </w:r>
          </w:p>
        </w:tc>
      </w:tr>
      <w:tr w:rsidR="00BE6F63" w:rsidRPr="00A90AB7" w14:paraId="1265D248" w14:textId="77777777" w:rsidTr="00181C49">
        <w:tc>
          <w:tcPr>
            <w:tcW w:w="1875" w:type="pct"/>
            <w:shd w:val="clear" w:color="auto" w:fill="auto"/>
            <w:vAlign w:val="center"/>
          </w:tcPr>
          <w:p w14:paraId="6E9C1C12"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974" w:type="pct"/>
            <w:shd w:val="clear" w:color="auto" w:fill="auto"/>
            <w:vAlign w:val="center"/>
          </w:tcPr>
          <w:p w14:paraId="75EDD41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24" w:type="pct"/>
            <w:shd w:val="clear" w:color="auto" w:fill="auto"/>
            <w:vAlign w:val="center"/>
          </w:tcPr>
          <w:p w14:paraId="3FEEC323"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27" w:type="pct"/>
            <w:shd w:val="clear" w:color="auto" w:fill="auto"/>
            <w:vAlign w:val="center"/>
          </w:tcPr>
          <w:p w14:paraId="45C0D986"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p>
        </w:tc>
      </w:tr>
      <w:tr w:rsidR="001046F6" w:rsidRPr="00A90AB7" w14:paraId="013F1FB5" w14:textId="77777777" w:rsidTr="0095587A">
        <w:tc>
          <w:tcPr>
            <w:tcW w:w="1875" w:type="pct"/>
            <w:shd w:val="clear" w:color="auto" w:fill="auto"/>
            <w:vAlign w:val="center"/>
          </w:tcPr>
          <w:p w14:paraId="6740DD82" w14:textId="7184388A"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thu nhập/1 đơn vị CCQ</w:t>
            </w:r>
          </w:p>
        </w:tc>
        <w:tc>
          <w:tcPr>
            <w:tcW w:w="974" w:type="pct"/>
            <w:shd w:val="clear" w:color="auto" w:fill="auto"/>
            <w:vAlign w:val="center"/>
          </w:tcPr>
          <w:p w14:paraId="3E7EBDC3" w14:textId="42A4B982" w:rsidR="001046F6" w:rsidRPr="0009649C" w:rsidRDefault="001046F6" w:rsidP="001046F6">
            <w:pPr>
              <w:tabs>
                <w:tab w:val="left" w:pos="540"/>
              </w:tabs>
              <w:spacing w:after="0" w:line="240" w:lineRule="auto"/>
              <w:ind w:left="58" w:right="58"/>
              <w:jc w:val="center"/>
              <w:rPr>
                <w:rFonts w:ascii="Times New Roman" w:eastAsia="Times New Roman" w:hAnsi="Times New Roman"/>
                <w:color w:val="FF0000"/>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24" w:type="pct"/>
            <w:shd w:val="clear" w:color="auto" w:fill="auto"/>
            <w:vAlign w:val="center"/>
          </w:tcPr>
          <w:p w14:paraId="1F42AD25" w14:textId="3685004F"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127" w:type="pct"/>
            <w:shd w:val="clear" w:color="auto" w:fill="auto"/>
            <w:vAlign w:val="center"/>
          </w:tcPr>
          <w:p w14:paraId="5BF92CF8" w14:textId="1C5E930A"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1046F6" w:rsidRPr="00A90AB7" w14:paraId="1A1556A7" w14:textId="77777777" w:rsidTr="0095587A">
        <w:tc>
          <w:tcPr>
            <w:tcW w:w="1875" w:type="pct"/>
            <w:shd w:val="clear" w:color="auto" w:fill="auto"/>
            <w:vAlign w:val="center"/>
          </w:tcPr>
          <w:p w14:paraId="6DB00EA9" w14:textId="7B12D144"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Vốn/1 đơn vị CCQ</w:t>
            </w:r>
          </w:p>
        </w:tc>
        <w:tc>
          <w:tcPr>
            <w:tcW w:w="974" w:type="pct"/>
            <w:shd w:val="clear" w:color="auto" w:fill="auto"/>
            <w:vAlign w:val="center"/>
          </w:tcPr>
          <w:p w14:paraId="162F542C" w14:textId="5473A93A" w:rsidR="001046F6" w:rsidRPr="0009649C" w:rsidRDefault="001046F6" w:rsidP="001046F6">
            <w:pPr>
              <w:tabs>
                <w:tab w:val="left" w:pos="540"/>
              </w:tabs>
              <w:spacing w:after="0" w:line="240" w:lineRule="auto"/>
              <w:ind w:left="58" w:right="58"/>
              <w:jc w:val="center"/>
              <w:rPr>
                <w:rFonts w:ascii="Times New Roman" w:eastAsia="Times New Roman" w:hAnsi="Times New Roman"/>
                <w:color w:val="FF0000"/>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24" w:type="pct"/>
            <w:shd w:val="clear" w:color="auto" w:fill="auto"/>
            <w:vAlign w:val="center"/>
          </w:tcPr>
          <w:p w14:paraId="30BCD4DB" w14:textId="6DAC13F8"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127" w:type="pct"/>
            <w:shd w:val="clear" w:color="auto" w:fill="auto"/>
            <w:vAlign w:val="center"/>
          </w:tcPr>
          <w:p w14:paraId="573EAA3A" w14:textId="40E06BAB"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010F11" w:rsidRPr="00A90AB7" w14:paraId="5AE0FE5D" w14:textId="77777777" w:rsidTr="006832E9">
        <w:tc>
          <w:tcPr>
            <w:tcW w:w="1875" w:type="pct"/>
            <w:shd w:val="clear" w:color="auto" w:fill="auto"/>
            <w:vAlign w:val="center"/>
          </w:tcPr>
          <w:p w14:paraId="3FAA0781" w14:textId="5850A4B8" w:rsidR="00010F11" w:rsidRPr="00A90AB7" w:rsidRDefault="00010F11" w:rsidP="00010F1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Tổng tăng trưởng/1 đơn vị CCQ</w:t>
            </w:r>
          </w:p>
        </w:tc>
        <w:tc>
          <w:tcPr>
            <w:tcW w:w="974" w:type="pct"/>
            <w:shd w:val="clear" w:color="auto" w:fill="auto"/>
            <w:vAlign w:val="center"/>
          </w:tcPr>
          <w:p w14:paraId="78EEBA99" w14:textId="57F2F826" w:rsidR="00010F11" w:rsidRPr="00A90AB7" w:rsidRDefault="00010F11" w:rsidP="00010F11">
            <w:pPr>
              <w:tabs>
                <w:tab w:val="left" w:pos="540"/>
              </w:tabs>
              <w:spacing w:after="0" w:line="240" w:lineRule="auto"/>
              <w:ind w:right="58"/>
              <w:jc w:val="center"/>
              <w:rPr>
                <w:rFonts w:ascii="Times New Roman" w:eastAsia="Times New Roman" w:hAnsi="Times New Roman"/>
                <w:sz w:val="24"/>
                <w:szCs w:val="24"/>
                <w:lang w:val="nl-NL"/>
              </w:rPr>
            </w:pPr>
            <w:r w:rsidRPr="006832E9">
              <w:rPr>
                <w:rFonts w:ascii="Times New Roman" w:eastAsia="Times New Roman" w:hAnsi="Times New Roman"/>
                <w:sz w:val="24"/>
                <w:szCs w:val="24"/>
                <w:lang w:val="nl-NL"/>
              </w:rPr>
              <w:t>12,94</w:t>
            </w:r>
          </w:p>
        </w:tc>
        <w:tc>
          <w:tcPr>
            <w:tcW w:w="1024" w:type="pct"/>
            <w:shd w:val="clear" w:color="auto" w:fill="auto"/>
            <w:vAlign w:val="center"/>
          </w:tcPr>
          <w:p w14:paraId="79797E82" w14:textId="2943D866" w:rsidR="00010F11" w:rsidRPr="00A90AB7" w:rsidRDefault="00010F11" w:rsidP="00010F11">
            <w:pPr>
              <w:tabs>
                <w:tab w:val="left" w:pos="540"/>
              </w:tabs>
              <w:spacing w:after="0" w:line="240" w:lineRule="auto"/>
              <w:ind w:left="58" w:right="58"/>
              <w:jc w:val="center"/>
              <w:rPr>
                <w:rFonts w:ascii="Times New Roman" w:eastAsia="Times New Roman" w:hAnsi="Times New Roman"/>
                <w:sz w:val="24"/>
                <w:szCs w:val="24"/>
                <w:lang w:val="nl-NL"/>
              </w:rPr>
            </w:pPr>
            <w:r w:rsidRPr="006832E9">
              <w:rPr>
                <w:rFonts w:ascii="Times New Roman" w:eastAsia="Times New Roman" w:hAnsi="Times New Roman"/>
                <w:sz w:val="24"/>
                <w:szCs w:val="24"/>
                <w:lang w:val="nl-NL"/>
              </w:rPr>
              <w:t>10,01</w:t>
            </w:r>
          </w:p>
        </w:tc>
        <w:tc>
          <w:tcPr>
            <w:tcW w:w="1127" w:type="pct"/>
            <w:shd w:val="clear" w:color="auto" w:fill="auto"/>
            <w:vAlign w:val="center"/>
          </w:tcPr>
          <w:p w14:paraId="44F7360A" w14:textId="435315D7" w:rsidR="00010F11" w:rsidRPr="00A90AB7" w:rsidRDefault="00010F11" w:rsidP="00010F11">
            <w:pPr>
              <w:tabs>
                <w:tab w:val="left" w:pos="540"/>
              </w:tabs>
              <w:spacing w:after="0" w:line="240" w:lineRule="auto"/>
              <w:ind w:left="58" w:right="58"/>
              <w:jc w:val="center"/>
              <w:rPr>
                <w:rFonts w:ascii="Times New Roman" w:eastAsia="Times New Roman" w:hAnsi="Times New Roman"/>
                <w:sz w:val="24"/>
                <w:szCs w:val="24"/>
                <w:lang w:val="nl-NL"/>
              </w:rPr>
            </w:pPr>
            <w:r w:rsidRPr="006832E9">
              <w:rPr>
                <w:rFonts w:ascii="Times New Roman" w:eastAsia="Times New Roman" w:hAnsi="Times New Roman"/>
                <w:sz w:val="24"/>
                <w:szCs w:val="24"/>
                <w:lang w:val="nl-NL"/>
              </w:rPr>
              <w:t>38,91</w:t>
            </w:r>
          </w:p>
        </w:tc>
      </w:tr>
      <w:tr w:rsidR="00010F11" w:rsidRPr="00A90AB7" w14:paraId="275BF76B" w14:textId="77777777" w:rsidTr="006832E9">
        <w:tc>
          <w:tcPr>
            <w:tcW w:w="1875" w:type="pct"/>
            <w:shd w:val="clear" w:color="auto" w:fill="auto"/>
            <w:vAlign w:val="center"/>
          </w:tcPr>
          <w:p w14:paraId="048B22BC" w14:textId="34AAB21A" w:rsidR="00010F11" w:rsidRPr="00A90AB7" w:rsidRDefault="00010F11" w:rsidP="00010F1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hàng năm(%)/1 đơn vị CCQ</w:t>
            </w:r>
          </w:p>
        </w:tc>
        <w:tc>
          <w:tcPr>
            <w:tcW w:w="974" w:type="pct"/>
            <w:shd w:val="clear" w:color="auto" w:fill="auto"/>
            <w:vAlign w:val="center"/>
          </w:tcPr>
          <w:p w14:paraId="68C03DD1" w14:textId="0B03465F" w:rsidR="00010F11" w:rsidRPr="00A90AB7" w:rsidRDefault="00010F11" w:rsidP="00010F11">
            <w:pPr>
              <w:tabs>
                <w:tab w:val="left" w:pos="540"/>
              </w:tabs>
              <w:spacing w:after="0" w:line="240" w:lineRule="auto"/>
              <w:ind w:left="58" w:right="58"/>
              <w:jc w:val="center"/>
              <w:rPr>
                <w:rFonts w:ascii="Times New Roman" w:eastAsia="Times New Roman" w:hAnsi="Times New Roman"/>
                <w:sz w:val="24"/>
                <w:szCs w:val="24"/>
                <w:lang w:val="nl-NL"/>
              </w:rPr>
            </w:pPr>
            <w:r w:rsidRPr="006832E9">
              <w:rPr>
                <w:rFonts w:ascii="Times New Roman" w:eastAsia="Times New Roman" w:hAnsi="Times New Roman"/>
                <w:sz w:val="24"/>
                <w:szCs w:val="24"/>
                <w:lang w:val="nl-NL"/>
              </w:rPr>
              <w:t>12,94</w:t>
            </w:r>
          </w:p>
        </w:tc>
        <w:tc>
          <w:tcPr>
            <w:tcW w:w="1024" w:type="pct"/>
            <w:shd w:val="clear" w:color="auto" w:fill="auto"/>
            <w:vAlign w:val="center"/>
          </w:tcPr>
          <w:p w14:paraId="32106B9E" w14:textId="3DF1E1DE" w:rsidR="00010F11" w:rsidRPr="00A90AB7" w:rsidRDefault="00010F11" w:rsidP="00010F11">
            <w:pPr>
              <w:tabs>
                <w:tab w:val="left" w:pos="540"/>
              </w:tabs>
              <w:spacing w:after="0" w:line="240" w:lineRule="auto"/>
              <w:ind w:left="58" w:right="58"/>
              <w:jc w:val="center"/>
              <w:rPr>
                <w:rFonts w:ascii="Times New Roman" w:eastAsia="Times New Roman" w:hAnsi="Times New Roman"/>
                <w:sz w:val="24"/>
                <w:szCs w:val="24"/>
                <w:lang w:val="nl-NL"/>
              </w:rPr>
            </w:pPr>
            <w:r w:rsidRPr="006832E9">
              <w:rPr>
                <w:rFonts w:ascii="Times New Roman" w:eastAsia="Times New Roman" w:hAnsi="Times New Roman"/>
                <w:sz w:val="24"/>
                <w:szCs w:val="24"/>
                <w:lang w:val="nl-NL"/>
              </w:rPr>
              <w:t>3,23</w:t>
            </w:r>
          </w:p>
        </w:tc>
        <w:tc>
          <w:tcPr>
            <w:tcW w:w="1127" w:type="pct"/>
            <w:shd w:val="clear" w:color="auto" w:fill="auto"/>
            <w:vAlign w:val="center"/>
          </w:tcPr>
          <w:p w14:paraId="3AFD6D6E" w14:textId="66D14DCC" w:rsidR="00010F11" w:rsidRPr="00A90AB7" w:rsidRDefault="00010F11" w:rsidP="00010F11">
            <w:pPr>
              <w:tabs>
                <w:tab w:val="left" w:pos="540"/>
              </w:tabs>
              <w:spacing w:after="0" w:line="240" w:lineRule="auto"/>
              <w:ind w:left="58" w:right="58"/>
              <w:jc w:val="center"/>
              <w:rPr>
                <w:rFonts w:ascii="Times New Roman" w:eastAsia="Times New Roman" w:hAnsi="Times New Roman"/>
                <w:sz w:val="24"/>
                <w:szCs w:val="24"/>
                <w:lang w:val="nl-NL"/>
              </w:rPr>
            </w:pPr>
            <w:r w:rsidRPr="006832E9">
              <w:rPr>
                <w:rFonts w:ascii="Times New Roman" w:eastAsia="Times New Roman" w:hAnsi="Times New Roman"/>
                <w:sz w:val="24"/>
                <w:szCs w:val="24"/>
                <w:lang w:val="nl-NL"/>
              </w:rPr>
              <w:t>6,80</w:t>
            </w:r>
          </w:p>
        </w:tc>
      </w:tr>
      <w:tr w:rsidR="008D0C99" w:rsidRPr="00A90AB7" w14:paraId="331CA308" w14:textId="77777777" w:rsidTr="00A83802">
        <w:tc>
          <w:tcPr>
            <w:tcW w:w="1875" w:type="pct"/>
            <w:shd w:val="clear" w:color="auto" w:fill="auto"/>
            <w:vAlign w:val="center"/>
          </w:tcPr>
          <w:p w14:paraId="0E2F9146" w14:textId="18225C46" w:rsidR="008D0C99" w:rsidRPr="00A90AB7" w:rsidRDefault="008D0C99" w:rsidP="008D0C9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của danh mục cơ cấu</w:t>
            </w:r>
            <w:r>
              <w:rPr>
                <w:rFonts w:ascii="Times New Roman" w:eastAsia="Times New Roman" w:hAnsi="Times New Roman"/>
                <w:sz w:val="24"/>
                <w:szCs w:val="24"/>
                <w:lang w:val="nl-NL"/>
              </w:rPr>
              <w:t xml:space="preserve"> (*)</w:t>
            </w:r>
          </w:p>
        </w:tc>
        <w:tc>
          <w:tcPr>
            <w:tcW w:w="974" w:type="pct"/>
            <w:shd w:val="clear" w:color="auto" w:fill="auto"/>
            <w:vAlign w:val="center"/>
          </w:tcPr>
          <w:p w14:paraId="51E4F642" w14:textId="4FE0258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024" w:type="pct"/>
            <w:shd w:val="clear" w:color="auto" w:fill="auto"/>
            <w:vAlign w:val="center"/>
          </w:tcPr>
          <w:p w14:paraId="57C814EC" w14:textId="2D8F71C6"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127" w:type="pct"/>
            <w:shd w:val="clear" w:color="auto" w:fill="auto"/>
            <w:vAlign w:val="center"/>
          </w:tcPr>
          <w:p w14:paraId="31D77E7F" w14:textId="73936483"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r w:rsidR="008D0C99" w:rsidRPr="00A90AB7" w14:paraId="24143984" w14:textId="77777777" w:rsidTr="00181C49">
        <w:tc>
          <w:tcPr>
            <w:tcW w:w="1875" w:type="pct"/>
            <w:shd w:val="clear" w:color="auto" w:fill="auto"/>
            <w:vAlign w:val="center"/>
          </w:tcPr>
          <w:p w14:paraId="6CA73C06" w14:textId="5B7F40F9" w:rsidR="008D0C99" w:rsidRPr="00A90AB7" w:rsidRDefault="008D0C99" w:rsidP="008D0C9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Thay đổi giá trị thị trường của 1 đơn vị CCQ</w:t>
            </w:r>
            <w:r>
              <w:rPr>
                <w:rFonts w:ascii="Times New Roman" w:eastAsia="Times New Roman" w:hAnsi="Times New Roman"/>
                <w:sz w:val="24"/>
                <w:szCs w:val="24"/>
                <w:lang w:val="nl-NL"/>
              </w:rPr>
              <w:t xml:space="preserve"> (**)</w:t>
            </w:r>
          </w:p>
        </w:tc>
        <w:tc>
          <w:tcPr>
            <w:tcW w:w="974" w:type="pct"/>
            <w:shd w:val="clear" w:color="auto" w:fill="auto"/>
            <w:vAlign w:val="center"/>
          </w:tcPr>
          <w:p w14:paraId="66B6B561" w14:textId="57028AD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024" w:type="pct"/>
            <w:shd w:val="clear" w:color="auto" w:fill="auto"/>
            <w:vAlign w:val="center"/>
          </w:tcPr>
          <w:p w14:paraId="0A59262E" w14:textId="392FF106"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127" w:type="pct"/>
            <w:shd w:val="clear" w:color="auto" w:fill="auto"/>
            <w:vAlign w:val="center"/>
          </w:tcPr>
          <w:p w14:paraId="191A6152" w14:textId="0785650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bl>
    <w:p w14:paraId="62FD4187" w14:textId="77777777" w:rsidR="008D0C99" w:rsidRPr="0099238D" w:rsidRDefault="008D0C99" w:rsidP="007B27C8">
      <w:pPr>
        <w:shd w:val="clear" w:color="auto" w:fill="FFFFFF"/>
        <w:tabs>
          <w:tab w:val="left" w:pos="540"/>
        </w:tabs>
        <w:spacing w:before="120" w:after="0" w:line="240" w:lineRule="auto"/>
        <w:jc w:val="both"/>
        <w:rPr>
          <w:rFonts w:ascii="Times New Roman" w:hAnsi="Times New Roman"/>
          <w:sz w:val="24"/>
          <w:szCs w:val="24"/>
          <w:lang w:val="nl-NL"/>
        </w:rPr>
      </w:pPr>
      <w:r w:rsidRPr="0099238D">
        <w:rPr>
          <w:rFonts w:ascii="Times New Roman" w:hAnsi="Times New Roman"/>
          <w:sz w:val="24"/>
          <w:szCs w:val="24"/>
          <w:lang w:val="nl-NL"/>
        </w:rPr>
        <w:t>(*)</w:t>
      </w:r>
      <w:r w:rsidRPr="0099238D">
        <w:rPr>
          <w:rFonts w:ascii="Times New Roman" w:hAnsi="Times New Roman"/>
          <w:sz w:val="24"/>
          <w:szCs w:val="24"/>
          <w:lang w:val="nl-NL"/>
        </w:rPr>
        <w:tab/>
        <w:t>Quỹ không có danh mục cơ cấu.</w:t>
      </w:r>
    </w:p>
    <w:p w14:paraId="585972EC" w14:textId="1FC7561C" w:rsidR="00753C12" w:rsidRDefault="008D0C99" w:rsidP="00075787">
      <w:pPr>
        <w:shd w:val="clear" w:color="auto" w:fill="FFFFFF"/>
        <w:tabs>
          <w:tab w:val="left" w:pos="540"/>
        </w:tabs>
        <w:spacing w:before="120" w:after="0" w:line="240" w:lineRule="auto"/>
        <w:rPr>
          <w:noProof/>
        </w:rPr>
      </w:pPr>
      <w:r w:rsidRPr="0099238D">
        <w:rPr>
          <w:rFonts w:ascii="Times New Roman" w:hAnsi="Times New Roman"/>
          <w:sz w:val="24"/>
          <w:szCs w:val="24"/>
          <w:lang w:val="nl-NL"/>
        </w:rPr>
        <w:t>(**)</w:t>
      </w:r>
      <w:r w:rsidRPr="0099238D">
        <w:rPr>
          <w:rFonts w:ascii="Times New Roman" w:hAnsi="Times New Roman"/>
          <w:sz w:val="24"/>
          <w:szCs w:val="24"/>
          <w:lang w:val="nl-NL"/>
        </w:rPr>
        <w:tab/>
        <w:t>Quỹ không có giá trị thị trường.</w:t>
      </w:r>
    </w:p>
    <w:p w14:paraId="42874E21" w14:textId="1630157F" w:rsidR="003E0EF5" w:rsidRDefault="00EB03DA" w:rsidP="000C67AE">
      <w:pPr>
        <w:shd w:val="clear" w:color="auto" w:fill="FFFFFF"/>
        <w:tabs>
          <w:tab w:val="left" w:pos="540"/>
        </w:tabs>
        <w:spacing w:before="120" w:after="0" w:line="240" w:lineRule="auto"/>
        <w:jc w:val="both"/>
        <w:rPr>
          <w:noProof/>
        </w:rPr>
      </w:pPr>
      <w:r>
        <w:rPr>
          <w:noProof/>
        </w:rPr>
        <w:lastRenderedPageBreak/>
        <w:drawing>
          <wp:inline distT="0" distB="0" distL="0" distR="0" wp14:anchorId="4DB55A84" wp14:editId="5D0F7C87">
            <wp:extent cx="5943600" cy="4157980"/>
            <wp:effectExtent l="0" t="0" r="0" b="13970"/>
            <wp:docPr id="1741017869" name="Chart 1">
              <a:extLst xmlns:a="http://schemas.openxmlformats.org/drawingml/2006/main">
                <a:ext uri="{FF2B5EF4-FFF2-40B4-BE49-F238E27FC236}">
                  <a16:creationId xmlns:a16="http://schemas.microsoft.com/office/drawing/2014/main" id="{E97340CA-871B-48ED-BB81-137B91B71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4D4C8CD" w14:textId="23E57A2E" w:rsidR="007B27C8" w:rsidRPr="00A90AB7" w:rsidRDefault="00BE6F63" w:rsidP="007B27C8">
      <w:pPr>
        <w:shd w:val="clear" w:color="auto" w:fill="FFFFFF"/>
        <w:tabs>
          <w:tab w:val="left" w:pos="540"/>
        </w:tabs>
        <w:spacing w:before="120" w:after="0" w:line="360" w:lineRule="auto"/>
        <w:jc w:val="both"/>
        <w:rPr>
          <w:rFonts w:ascii="Times New Roman" w:hAnsi="Times New Roman"/>
          <w:sz w:val="24"/>
          <w:szCs w:val="24"/>
          <w:lang w:val="nl-NL"/>
        </w:rPr>
      </w:pPr>
      <w:r w:rsidRPr="00315A8E">
        <w:rPr>
          <w:rFonts w:ascii="Times New Roman" w:hAnsi="Times New Roman"/>
          <w:sz w:val="24"/>
          <w:szCs w:val="24"/>
          <w:lang w:val="nl-NL"/>
        </w:rPr>
        <w:t xml:space="preserve">● </w:t>
      </w:r>
      <w:r w:rsidR="007B27C8" w:rsidRPr="00A90AB7">
        <w:rPr>
          <w:rFonts w:ascii="Times New Roman" w:hAnsi="Times New Roman"/>
          <w:sz w:val="24"/>
          <w:szCs w:val="24"/>
          <w:lang w:val="nl-NL"/>
        </w:rPr>
        <w:t xml:space="preserve">Thay đổi </w:t>
      </w:r>
      <w:r w:rsidR="007B27C8" w:rsidRPr="00DF533C">
        <w:rPr>
          <w:rFonts w:ascii="Times New Roman" w:hAnsi="Times New Roman"/>
          <w:sz w:val="24"/>
          <w:szCs w:val="24"/>
          <w:lang w:val="nl-NL"/>
        </w:rPr>
        <w:t>NAV</w:t>
      </w:r>
      <w:r w:rsidR="007B27C8">
        <w:rPr>
          <w:rFonts w:ascii="Times New Roman" w:hAnsi="Times New Roman"/>
          <w:sz w:val="24"/>
          <w:szCs w:val="24"/>
          <w:lang w:val="nl-NL"/>
        </w:rPr>
        <w: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4"/>
        <w:gridCol w:w="2073"/>
        <w:gridCol w:w="2159"/>
        <w:gridCol w:w="1798"/>
      </w:tblGrid>
      <w:tr w:rsidR="007B27C8" w:rsidRPr="00A90AB7" w14:paraId="7E5D6D88" w14:textId="77777777" w:rsidTr="0009649C">
        <w:tc>
          <w:tcPr>
            <w:tcW w:w="1777" w:type="pct"/>
            <w:shd w:val="clear" w:color="auto" w:fill="auto"/>
          </w:tcPr>
          <w:p w14:paraId="722817B1" w14:textId="77777777" w:rsidR="007B27C8" w:rsidRPr="00A90AB7" w:rsidRDefault="007B27C8" w:rsidP="00490079">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Chỉ tiêu</w:t>
            </w:r>
          </w:p>
        </w:tc>
        <w:tc>
          <w:tcPr>
            <w:tcW w:w="1108" w:type="pct"/>
            <w:shd w:val="clear" w:color="auto" w:fill="auto"/>
            <w:vAlign w:val="center"/>
          </w:tcPr>
          <w:p w14:paraId="0721DC7D" w14:textId="41BCCED2" w:rsidR="007B27C8" w:rsidRPr="00D20DF1" w:rsidRDefault="00D20DF1" w:rsidP="00490079">
            <w:pPr>
              <w:tabs>
                <w:tab w:val="left" w:pos="540"/>
              </w:tabs>
              <w:spacing w:before="120" w:after="0" w:line="240" w:lineRule="auto"/>
              <w:jc w:val="center"/>
              <w:rPr>
                <w:rFonts w:ascii="Times New Roman" w:eastAsia="Times New Roman" w:hAnsi="Times New Roman"/>
                <w:bCs/>
                <w:sz w:val="24"/>
                <w:szCs w:val="24"/>
                <w:lang w:val="nl-NL"/>
              </w:rPr>
            </w:pPr>
            <w:r w:rsidRPr="00D20DF1">
              <w:rPr>
                <w:rFonts w:ascii="Times New Roman" w:eastAsia="Times New Roman" w:hAnsi="Times New Roman"/>
                <w:bCs/>
                <w:sz w:val="24"/>
                <w:szCs w:val="24"/>
                <w:lang w:val="nl-NL"/>
              </w:rPr>
              <w:t>3</w:t>
            </w:r>
            <w:r w:rsidR="00C31909">
              <w:rPr>
                <w:rFonts w:ascii="Times New Roman" w:eastAsia="Times New Roman" w:hAnsi="Times New Roman"/>
                <w:bCs/>
                <w:sz w:val="24"/>
                <w:szCs w:val="24"/>
                <w:lang w:val="nl-NL"/>
              </w:rPr>
              <w:t>1</w:t>
            </w:r>
            <w:r w:rsidRPr="00D20DF1">
              <w:rPr>
                <w:rFonts w:ascii="Times New Roman" w:eastAsia="Times New Roman" w:hAnsi="Times New Roman"/>
                <w:bCs/>
                <w:sz w:val="24"/>
                <w:szCs w:val="24"/>
                <w:lang w:val="nl-NL"/>
              </w:rPr>
              <w:t>/</w:t>
            </w:r>
            <w:r w:rsidR="00C31909">
              <w:rPr>
                <w:rFonts w:ascii="Times New Roman" w:eastAsia="Times New Roman" w:hAnsi="Times New Roman"/>
                <w:bCs/>
                <w:sz w:val="24"/>
                <w:szCs w:val="24"/>
                <w:lang w:val="nl-NL"/>
              </w:rPr>
              <w:t>12</w:t>
            </w:r>
            <w:r w:rsidR="007B27C8" w:rsidRPr="00D20DF1">
              <w:rPr>
                <w:rFonts w:ascii="Times New Roman" w:eastAsia="Times New Roman" w:hAnsi="Times New Roman"/>
                <w:bCs/>
                <w:sz w:val="24"/>
                <w:szCs w:val="24"/>
                <w:lang w:val="nl-NL"/>
              </w:rPr>
              <w:t>/202</w:t>
            </w:r>
            <w:r w:rsidR="00E67E98" w:rsidRPr="00D20DF1">
              <w:rPr>
                <w:rFonts w:ascii="Times New Roman" w:eastAsia="Times New Roman" w:hAnsi="Times New Roman"/>
                <w:bCs/>
                <w:sz w:val="24"/>
                <w:szCs w:val="24"/>
                <w:lang w:val="nl-NL"/>
              </w:rPr>
              <w:t>3</w:t>
            </w:r>
          </w:p>
        </w:tc>
        <w:tc>
          <w:tcPr>
            <w:tcW w:w="1154" w:type="pct"/>
            <w:shd w:val="clear" w:color="auto" w:fill="auto"/>
            <w:vAlign w:val="center"/>
          </w:tcPr>
          <w:p w14:paraId="39144C33" w14:textId="5015B95D" w:rsidR="007B27C8" w:rsidRPr="00D20DF1" w:rsidRDefault="00D20DF1" w:rsidP="00490079">
            <w:pPr>
              <w:tabs>
                <w:tab w:val="left" w:pos="540"/>
              </w:tabs>
              <w:spacing w:before="120" w:after="0" w:line="240" w:lineRule="auto"/>
              <w:jc w:val="center"/>
              <w:rPr>
                <w:rFonts w:ascii="Times New Roman" w:eastAsia="Times New Roman" w:hAnsi="Times New Roman"/>
                <w:bCs/>
                <w:sz w:val="24"/>
                <w:szCs w:val="24"/>
                <w:lang w:val="nl-NL"/>
              </w:rPr>
            </w:pPr>
            <w:r w:rsidRPr="00D20DF1">
              <w:rPr>
                <w:rFonts w:ascii="Times New Roman" w:eastAsia="Times New Roman" w:hAnsi="Times New Roman"/>
                <w:bCs/>
                <w:sz w:val="24"/>
                <w:szCs w:val="24"/>
                <w:lang w:val="nl-NL"/>
              </w:rPr>
              <w:t>3</w:t>
            </w:r>
            <w:r w:rsidR="00C31909">
              <w:rPr>
                <w:rFonts w:ascii="Times New Roman" w:eastAsia="Times New Roman" w:hAnsi="Times New Roman"/>
                <w:bCs/>
                <w:sz w:val="24"/>
                <w:szCs w:val="24"/>
                <w:lang w:val="nl-NL"/>
              </w:rPr>
              <w:t>1</w:t>
            </w:r>
            <w:r w:rsidRPr="00D20DF1">
              <w:rPr>
                <w:rFonts w:ascii="Times New Roman" w:eastAsia="Times New Roman" w:hAnsi="Times New Roman"/>
                <w:bCs/>
                <w:sz w:val="24"/>
                <w:szCs w:val="24"/>
                <w:lang w:val="nl-NL"/>
              </w:rPr>
              <w:t>/</w:t>
            </w:r>
            <w:r w:rsidR="00C31909">
              <w:rPr>
                <w:rFonts w:ascii="Times New Roman" w:eastAsia="Times New Roman" w:hAnsi="Times New Roman"/>
                <w:bCs/>
                <w:sz w:val="24"/>
                <w:szCs w:val="24"/>
                <w:lang w:val="nl-NL"/>
              </w:rPr>
              <w:t>12</w:t>
            </w:r>
            <w:r w:rsidR="007B27C8" w:rsidRPr="00D20DF1">
              <w:rPr>
                <w:rFonts w:ascii="Times New Roman" w:eastAsia="Times New Roman" w:hAnsi="Times New Roman"/>
                <w:bCs/>
                <w:sz w:val="24"/>
                <w:szCs w:val="24"/>
                <w:lang w:val="nl-NL"/>
              </w:rPr>
              <w:t>/202</w:t>
            </w:r>
            <w:r w:rsidR="00E67E98" w:rsidRPr="00D20DF1">
              <w:rPr>
                <w:rFonts w:ascii="Times New Roman" w:eastAsia="Times New Roman" w:hAnsi="Times New Roman"/>
                <w:bCs/>
                <w:sz w:val="24"/>
                <w:szCs w:val="24"/>
                <w:lang w:val="nl-NL"/>
              </w:rPr>
              <w:t>2</w:t>
            </w:r>
          </w:p>
        </w:tc>
        <w:tc>
          <w:tcPr>
            <w:tcW w:w="961" w:type="pct"/>
            <w:shd w:val="clear" w:color="auto" w:fill="auto"/>
          </w:tcPr>
          <w:p w14:paraId="5ABC217C" w14:textId="70B2B13C" w:rsidR="007B27C8" w:rsidRPr="00A90AB7" w:rsidRDefault="007B27C8" w:rsidP="00490079">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thay đổi</w:t>
            </w:r>
            <w:r w:rsidR="00C02674">
              <w:rPr>
                <w:rFonts w:ascii="Times New Roman" w:eastAsia="Times New Roman" w:hAnsi="Times New Roman"/>
                <w:sz w:val="24"/>
                <w:szCs w:val="24"/>
                <w:lang w:val="nl-NL"/>
              </w:rPr>
              <w:t xml:space="preserve"> (%)</w:t>
            </w:r>
          </w:p>
        </w:tc>
      </w:tr>
      <w:tr w:rsidR="00010F11" w:rsidRPr="00A90AB7" w14:paraId="252D09D8" w14:textId="77777777" w:rsidTr="00F75C5B">
        <w:tc>
          <w:tcPr>
            <w:tcW w:w="1777" w:type="pct"/>
            <w:shd w:val="clear" w:color="auto" w:fill="auto"/>
          </w:tcPr>
          <w:p w14:paraId="613FF24A" w14:textId="77777777" w:rsidR="00010F11" w:rsidRPr="00A90AB7" w:rsidRDefault="00010F11" w:rsidP="00010F11">
            <w:pPr>
              <w:tabs>
                <w:tab w:val="left" w:pos="540"/>
              </w:tabs>
              <w:spacing w:before="120" w:after="0" w:line="240" w:lineRule="auto"/>
              <w:rPr>
                <w:rFonts w:ascii="Times New Roman" w:eastAsia="Times New Roman" w:hAnsi="Times New Roman"/>
                <w:sz w:val="24"/>
                <w:szCs w:val="24"/>
                <w:lang w:val="nl-NL"/>
              </w:rPr>
            </w:pPr>
            <w:r w:rsidRPr="00DF533C">
              <w:rPr>
                <w:rFonts w:ascii="Times New Roman" w:eastAsia="Times New Roman" w:hAnsi="Times New Roman"/>
                <w:sz w:val="24"/>
                <w:szCs w:val="24"/>
                <w:lang w:val="nl-NL"/>
              </w:rPr>
              <w:t>NAV của Quỹ</w:t>
            </w:r>
          </w:p>
        </w:tc>
        <w:tc>
          <w:tcPr>
            <w:tcW w:w="1108" w:type="pct"/>
            <w:shd w:val="clear" w:color="auto" w:fill="auto"/>
          </w:tcPr>
          <w:p w14:paraId="6D3EF2B2" w14:textId="755AA890" w:rsidR="00010F11" w:rsidRPr="00F61CFC" w:rsidRDefault="00010F11" w:rsidP="00010F11">
            <w:pPr>
              <w:tabs>
                <w:tab w:val="left" w:pos="540"/>
              </w:tabs>
              <w:spacing w:before="120" w:after="0" w:line="240" w:lineRule="auto"/>
              <w:jc w:val="right"/>
              <w:rPr>
                <w:rFonts w:ascii="Times New Roman" w:eastAsia="Times New Roman" w:hAnsi="Times New Roman"/>
                <w:sz w:val="24"/>
                <w:szCs w:val="24"/>
                <w:lang w:val="nl-NL"/>
              </w:rPr>
            </w:pPr>
            <w:r w:rsidRPr="006832E9">
              <w:rPr>
                <w:rFonts w:ascii="Times New Roman" w:eastAsia="Times New Roman" w:hAnsi="Times New Roman"/>
                <w:sz w:val="24"/>
                <w:szCs w:val="24"/>
                <w:lang w:val="nl-NL"/>
              </w:rPr>
              <w:t xml:space="preserve"> 161.351.154.608 </w:t>
            </w:r>
          </w:p>
        </w:tc>
        <w:tc>
          <w:tcPr>
            <w:tcW w:w="1154" w:type="pct"/>
            <w:shd w:val="clear" w:color="auto" w:fill="auto"/>
          </w:tcPr>
          <w:p w14:paraId="22F1937F" w14:textId="78AB02A4" w:rsidR="00010F11" w:rsidRPr="00F61CFC" w:rsidRDefault="00010F11" w:rsidP="00010F11">
            <w:pPr>
              <w:tabs>
                <w:tab w:val="left" w:pos="540"/>
              </w:tabs>
              <w:spacing w:before="120" w:after="0" w:line="240" w:lineRule="auto"/>
              <w:jc w:val="right"/>
              <w:rPr>
                <w:rFonts w:ascii="Times New Roman" w:eastAsia="Times New Roman" w:hAnsi="Times New Roman"/>
                <w:sz w:val="24"/>
                <w:szCs w:val="24"/>
                <w:lang w:val="nl-NL"/>
              </w:rPr>
            </w:pPr>
            <w:r w:rsidRPr="006832E9">
              <w:rPr>
                <w:rFonts w:ascii="Times New Roman" w:eastAsia="Times New Roman" w:hAnsi="Times New Roman"/>
                <w:sz w:val="24"/>
                <w:szCs w:val="24"/>
                <w:lang w:val="nl-NL"/>
              </w:rPr>
              <w:t xml:space="preserve"> 132.813.824.473 </w:t>
            </w:r>
          </w:p>
        </w:tc>
        <w:tc>
          <w:tcPr>
            <w:tcW w:w="961" w:type="pct"/>
            <w:shd w:val="clear" w:color="auto" w:fill="auto"/>
          </w:tcPr>
          <w:p w14:paraId="28B43A4B" w14:textId="5A538504" w:rsidR="00010F11" w:rsidRPr="00F61CFC" w:rsidRDefault="00010F11" w:rsidP="00010F11">
            <w:pPr>
              <w:tabs>
                <w:tab w:val="left" w:pos="540"/>
              </w:tabs>
              <w:spacing w:before="120" w:after="0" w:line="240" w:lineRule="auto"/>
              <w:jc w:val="right"/>
              <w:rPr>
                <w:rFonts w:ascii="Times New Roman" w:eastAsia="Times New Roman" w:hAnsi="Times New Roman"/>
                <w:sz w:val="24"/>
                <w:szCs w:val="24"/>
                <w:lang w:val="nl-NL"/>
              </w:rPr>
            </w:pPr>
            <w:r w:rsidRPr="006832E9">
              <w:rPr>
                <w:rFonts w:ascii="Times New Roman" w:eastAsia="Times New Roman" w:hAnsi="Times New Roman"/>
                <w:sz w:val="24"/>
                <w:szCs w:val="24"/>
                <w:lang w:val="nl-NL"/>
              </w:rPr>
              <w:t>21,49</w:t>
            </w:r>
          </w:p>
        </w:tc>
      </w:tr>
      <w:tr w:rsidR="00010F11" w:rsidRPr="001330FC" w14:paraId="06B82A64" w14:textId="77777777" w:rsidTr="00F75C5B">
        <w:tc>
          <w:tcPr>
            <w:tcW w:w="1777" w:type="pct"/>
            <w:shd w:val="clear" w:color="auto" w:fill="auto"/>
          </w:tcPr>
          <w:p w14:paraId="4BDF5898" w14:textId="77777777" w:rsidR="00010F11" w:rsidRPr="001330FC" w:rsidRDefault="00010F11" w:rsidP="00010F11">
            <w:pPr>
              <w:tabs>
                <w:tab w:val="left" w:pos="540"/>
              </w:tabs>
              <w:spacing w:before="120" w:after="0" w:line="240" w:lineRule="auto"/>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NAV trên 1 CCQ (“NAV/CCQ”)</w:t>
            </w:r>
          </w:p>
        </w:tc>
        <w:tc>
          <w:tcPr>
            <w:tcW w:w="1108" w:type="pct"/>
            <w:shd w:val="clear" w:color="auto" w:fill="auto"/>
          </w:tcPr>
          <w:p w14:paraId="525690BD" w14:textId="55E693D6" w:rsidR="00010F11" w:rsidRPr="001330FC" w:rsidRDefault="00010F11" w:rsidP="00010F11">
            <w:pPr>
              <w:tabs>
                <w:tab w:val="left" w:pos="540"/>
              </w:tabs>
              <w:spacing w:before="120" w:after="0" w:line="240" w:lineRule="auto"/>
              <w:jc w:val="right"/>
              <w:rPr>
                <w:rFonts w:ascii="Times New Roman" w:eastAsia="Times New Roman" w:hAnsi="Times New Roman"/>
                <w:sz w:val="24"/>
                <w:szCs w:val="24"/>
                <w:lang w:val="nl-NL"/>
              </w:rPr>
            </w:pPr>
            <w:r w:rsidRPr="006832E9">
              <w:rPr>
                <w:rFonts w:ascii="Times New Roman" w:eastAsia="Times New Roman" w:hAnsi="Times New Roman"/>
                <w:sz w:val="24"/>
                <w:szCs w:val="24"/>
                <w:lang w:val="nl-NL"/>
              </w:rPr>
              <w:t xml:space="preserve"> 13.891,27   </w:t>
            </w:r>
          </w:p>
        </w:tc>
        <w:tc>
          <w:tcPr>
            <w:tcW w:w="1154" w:type="pct"/>
            <w:shd w:val="clear" w:color="auto" w:fill="auto"/>
          </w:tcPr>
          <w:p w14:paraId="5DFB947A" w14:textId="4B556771" w:rsidR="00010F11" w:rsidRPr="001330FC" w:rsidRDefault="00010F11" w:rsidP="00010F11">
            <w:pPr>
              <w:tabs>
                <w:tab w:val="left" w:pos="540"/>
              </w:tabs>
              <w:spacing w:before="120" w:after="0" w:line="240" w:lineRule="auto"/>
              <w:jc w:val="right"/>
              <w:rPr>
                <w:rFonts w:ascii="Times New Roman" w:eastAsia="Times New Roman" w:hAnsi="Times New Roman"/>
                <w:sz w:val="24"/>
                <w:szCs w:val="24"/>
                <w:lang w:val="nl-NL"/>
              </w:rPr>
            </w:pPr>
            <w:r w:rsidRPr="006832E9">
              <w:rPr>
                <w:rFonts w:ascii="Times New Roman" w:eastAsia="Times New Roman" w:hAnsi="Times New Roman"/>
                <w:sz w:val="24"/>
                <w:szCs w:val="24"/>
                <w:lang w:val="nl-NL"/>
              </w:rPr>
              <w:t xml:space="preserve"> 12.299,93   </w:t>
            </w:r>
          </w:p>
        </w:tc>
        <w:tc>
          <w:tcPr>
            <w:tcW w:w="961" w:type="pct"/>
            <w:shd w:val="clear" w:color="auto" w:fill="auto"/>
          </w:tcPr>
          <w:p w14:paraId="177BE2CA" w14:textId="3D83A669" w:rsidR="00010F11" w:rsidRPr="001330FC" w:rsidRDefault="00010F11" w:rsidP="00010F11">
            <w:pPr>
              <w:tabs>
                <w:tab w:val="left" w:pos="540"/>
              </w:tabs>
              <w:spacing w:before="120" w:after="0" w:line="240" w:lineRule="auto"/>
              <w:jc w:val="right"/>
              <w:rPr>
                <w:rFonts w:ascii="Times New Roman" w:eastAsia="Times New Roman" w:hAnsi="Times New Roman"/>
                <w:sz w:val="24"/>
                <w:szCs w:val="24"/>
                <w:lang w:val="nl-NL"/>
              </w:rPr>
            </w:pPr>
            <w:r w:rsidRPr="006832E9">
              <w:rPr>
                <w:rFonts w:ascii="Times New Roman" w:eastAsia="Times New Roman" w:hAnsi="Times New Roman"/>
                <w:sz w:val="24"/>
                <w:szCs w:val="24"/>
                <w:lang w:val="nl-NL"/>
              </w:rPr>
              <w:t>12,94</w:t>
            </w:r>
          </w:p>
        </w:tc>
      </w:tr>
    </w:tbl>
    <w:p w14:paraId="4ED89547" w14:textId="15FD51AC" w:rsidR="00BE6F63" w:rsidRPr="00A90AB7" w:rsidRDefault="00BE6F63" w:rsidP="00E81C98">
      <w:pPr>
        <w:tabs>
          <w:tab w:val="left" w:pos="540"/>
        </w:tabs>
        <w:spacing w:before="120" w:after="0" w:line="240" w:lineRule="auto"/>
        <w:jc w:val="both"/>
        <w:rPr>
          <w:rFonts w:ascii="Times New Roman" w:hAnsi="Times New Roman"/>
          <w:b/>
          <w:sz w:val="24"/>
          <w:szCs w:val="24"/>
          <w:lang w:val="nl-NL"/>
        </w:rPr>
      </w:pPr>
      <w:r w:rsidRPr="00E81C98">
        <w:rPr>
          <w:rFonts w:ascii="Times New Roman" w:hAnsi="Times New Roman"/>
          <w:b/>
          <w:sz w:val="24"/>
          <w:szCs w:val="24"/>
          <w:lang w:val="nl-NL"/>
        </w:rPr>
        <w:t xml:space="preserve">4.2. Thống kê về Nhà đầu tư nắm giữ Chứng chỉ </w:t>
      </w:r>
      <w:r w:rsidR="008F2B2D" w:rsidRPr="00E81C98">
        <w:rPr>
          <w:rFonts w:ascii="Times New Roman" w:hAnsi="Times New Roman"/>
          <w:b/>
          <w:sz w:val="24"/>
          <w:szCs w:val="24"/>
          <w:lang w:val="nl-NL"/>
        </w:rPr>
        <w:t>Q</w:t>
      </w:r>
      <w:r w:rsidRPr="00E81C98">
        <w:rPr>
          <w:rFonts w:ascii="Times New Roman" w:hAnsi="Times New Roman"/>
          <w:b/>
          <w:sz w:val="24"/>
          <w:szCs w:val="24"/>
          <w:lang w:val="nl-NL"/>
        </w:rPr>
        <w:t>uỹ tại thời điểm báo cáo (tại thời điểm gần nhất):</w:t>
      </w:r>
    </w:p>
    <w:p w14:paraId="32330169" w14:textId="77777777" w:rsidR="00315A8E" w:rsidRPr="00A90AB7"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1985"/>
        <w:gridCol w:w="2692"/>
        <w:gridCol w:w="1696"/>
      </w:tblGrid>
      <w:tr w:rsidR="00A90AB7" w:rsidRPr="00A90AB7" w14:paraId="3BCC7EEC" w14:textId="77777777" w:rsidTr="006F7C5E">
        <w:trPr>
          <w:trHeight w:val="525"/>
        </w:trPr>
        <w:tc>
          <w:tcPr>
            <w:tcW w:w="2967" w:type="dxa"/>
            <w:shd w:val="clear" w:color="auto" w:fill="auto"/>
            <w:hideMark/>
          </w:tcPr>
          <w:p w14:paraId="1A820499" w14:textId="6D876DC1" w:rsidR="00935B7F" w:rsidRPr="00A90AB7" w:rsidRDefault="00935B7F" w:rsidP="00935B7F">
            <w:pPr>
              <w:spacing w:after="0" w:line="240" w:lineRule="auto"/>
              <w:jc w:val="center"/>
              <w:rPr>
                <w:rFonts w:ascii="Times New Roman" w:eastAsia="Times New Roman" w:hAnsi="Times New Roman"/>
                <w:b/>
                <w:sz w:val="24"/>
                <w:szCs w:val="24"/>
              </w:rPr>
            </w:pPr>
            <w:r w:rsidRPr="00A90AB7">
              <w:rPr>
                <w:rFonts w:ascii="Times New Roman" w:hAnsi="Times New Roman"/>
                <w:b/>
                <w:sz w:val="24"/>
                <w:szCs w:val="24"/>
              </w:rPr>
              <w:t xml:space="preserve">Quy </w:t>
            </w:r>
            <w:proofErr w:type="spellStart"/>
            <w:r w:rsidRPr="00A90AB7">
              <w:rPr>
                <w:rFonts w:ascii="Times New Roman" w:hAnsi="Times New Roman"/>
                <w:b/>
                <w:sz w:val="24"/>
                <w:szCs w:val="24"/>
              </w:rPr>
              <w:t>mô</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w:t>
            </w:r>
          </w:p>
        </w:tc>
        <w:tc>
          <w:tcPr>
            <w:tcW w:w="1985" w:type="dxa"/>
            <w:shd w:val="clear" w:color="auto" w:fill="auto"/>
            <w:hideMark/>
          </w:tcPr>
          <w:p w14:paraId="08F715D0" w14:textId="421340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Nhà</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đầu</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tư</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2692" w:type="dxa"/>
            <w:shd w:val="clear" w:color="auto" w:fill="auto"/>
            <w:hideMark/>
          </w:tcPr>
          <w:p w14:paraId="0A0C70D5" w14:textId="21AF8C16"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Chứng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chỉ</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quỹ</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1696" w:type="dxa"/>
            <w:shd w:val="clear" w:color="auto" w:fill="auto"/>
            <w:hideMark/>
          </w:tcPr>
          <w:p w14:paraId="1A514B8F" w14:textId="0DCE1520"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Tỷ</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lệ</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007B27C8">
              <w:rPr>
                <w:rFonts w:ascii="Times New Roman" w:hAnsi="Times New Roman"/>
                <w:b/>
                <w:sz w:val="24"/>
                <w:szCs w:val="24"/>
              </w:rPr>
              <w:t xml:space="preserve"> (%)</w:t>
            </w:r>
          </w:p>
        </w:tc>
      </w:tr>
      <w:tr w:rsidR="006F7C5E" w:rsidRPr="00A90AB7" w14:paraId="5AC8833F" w14:textId="77777777" w:rsidTr="006F7C5E">
        <w:trPr>
          <w:trHeight w:val="315"/>
        </w:trPr>
        <w:tc>
          <w:tcPr>
            <w:tcW w:w="2967" w:type="dxa"/>
            <w:shd w:val="clear" w:color="auto" w:fill="auto"/>
            <w:hideMark/>
          </w:tcPr>
          <w:p w14:paraId="33BF8D42" w14:textId="04CBFFAB" w:rsidR="006F7C5E" w:rsidRPr="00A90AB7" w:rsidRDefault="006F7C5E" w:rsidP="006F7C5E">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Dưới</w:t>
            </w:r>
            <w:proofErr w:type="spellEnd"/>
            <w:r w:rsidRPr="00A90AB7">
              <w:rPr>
                <w:rFonts w:ascii="Times New Roman" w:hAnsi="Times New Roman"/>
                <w:sz w:val="24"/>
                <w:szCs w:val="24"/>
              </w:rPr>
              <w:t xml:space="preserve"> 5</w:t>
            </w:r>
            <w:r>
              <w:rPr>
                <w:rFonts w:ascii="Times New Roman" w:hAnsi="Times New Roman"/>
                <w:sz w:val="24"/>
                <w:szCs w:val="24"/>
              </w:rPr>
              <w:t>,</w:t>
            </w:r>
            <w:r w:rsidRPr="00A90AB7">
              <w:rPr>
                <w:rFonts w:ascii="Times New Roman" w:hAnsi="Times New Roman"/>
                <w:sz w:val="24"/>
                <w:szCs w:val="24"/>
              </w:rPr>
              <w:t>000</w:t>
            </w:r>
          </w:p>
        </w:tc>
        <w:tc>
          <w:tcPr>
            <w:tcW w:w="1985" w:type="dxa"/>
            <w:shd w:val="clear" w:color="auto" w:fill="auto"/>
          </w:tcPr>
          <w:p w14:paraId="569AE133" w14:textId="15D4E3E7" w:rsidR="006F7C5E" w:rsidRPr="00C02674" w:rsidRDefault="006F7C5E" w:rsidP="006F7C5E">
            <w:pPr>
              <w:spacing w:after="0" w:line="240" w:lineRule="auto"/>
              <w:jc w:val="right"/>
              <w:rPr>
                <w:rFonts w:ascii="Times New Roman" w:hAnsi="Times New Roman"/>
                <w:sz w:val="24"/>
                <w:szCs w:val="24"/>
              </w:rPr>
            </w:pPr>
            <w:r w:rsidRPr="006F7C5E">
              <w:rPr>
                <w:rFonts w:ascii="Times New Roman" w:hAnsi="Times New Roman"/>
                <w:sz w:val="24"/>
                <w:szCs w:val="24"/>
              </w:rPr>
              <w:t>1.521</w:t>
            </w:r>
          </w:p>
        </w:tc>
        <w:tc>
          <w:tcPr>
            <w:tcW w:w="2692" w:type="dxa"/>
            <w:shd w:val="clear" w:color="auto" w:fill="auto"/>
          </w:tcPr>
          <w:p w14:paraId="0EBE36E9" w14:textId="43A55E6D" w:rsidR="006F7C5E" w:rsidRPr="00C02674" w:rsidRDefault="006F7C5E" w:rsidP="006F7C5E">
            <w:pPr>
              <w:spacing w:after="0" w:line="240" w:lineRule="auto"/>
              <w:jc w:val="right"/>
              <w:rPr>
                <w:rFonts w:ascii="Times New Roman" w:hAnsi="Times New Roman"/>
                <w:sz w:val="24"/>
                <w:szCs w:val="24"/>
              </w:rPr>
            </w:pPr>
            <w:r w:rsidRPr="006F7C5E">
              <w:rPr>
                <w:rFonts w:ascii="Times New Roman" w:hAnsi="Times New Roman"/>
                <w:sz w:val="24"/>
                <w:szCs w:val="24"/>
              </w:rPr>
              <w:t>1.252.029,09</w:t>
            </w:r>
          </w:p>
        </w:tc>
        <w:tc>
          <w:tcPr>
            <w:tcW w:w="1696" w:type="dxa"/>
            <w:shd w:val="clear" w:color="auto" w:fill="auto"/>
          </w:tcPr>
          <w:p w14:paraId="324D4E7B" w14:textId="4E466044" w:rsidR="006F7C5E" w:rsidRPr="00C02674" w:rsidRDefault="006F7C5E" w:rsidP="006F7C5E">
            <w:pPr>
              <w:spacing w:after="0" w:line="240" w:lineRule="auto"/>
              <w:jc w:val="right"/>
              <w:rPr>
                <w:rFonts w:ascii="Times New Roman" w:hAnsi="Times New Roman"/>
                <w:sz w:val="24"/>
                <w:szCs w:val="24"/>
              </w:rPr>
            </w:pPr>
            <w:r w:rsidRPr="006F7C5E">
              <w:rPr>
                <w:rFonts w:ascii="Times New Roman" w:hAnsi="Times New Roman"/>
                <w:sz w:val="24"/>
                <w:szCs w:val="24"/>
              </w:rPr>
              <w:t>10,78</w:t>
            </w:r>
          </w:p>
        </w:tc>
      </w:tr>
      <w:tr w:rsidR="006F7C5E" w:rsidRPr="00A90AB7" w14:paraId="112DFD1E" w14:textId="77777777" w:rsidTr="006F7C5E">
        <w:trPr>
          <w:trHeight w:val="315"/>
        </w:trPr>
        <w:tc>
          <w:tcPr>
            <w:tcW w:w="2967" w:type="dxa"/>
            <w:shd w:val="clear" w:color="auto" w:fill="auto"/>
            <w:hideMark/>
          </w:tcPr>
          <w:p w14:paraId="595FFB6D" w14:textId="1614F4E7" w:rsidR="006F7C5E" w:rsidRPr="00A90AB7" w:rsidRDefault="006F7C5E" w:rsidP="006F7C5E">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w:t>
            </w:r>
            <w:r>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10</w:t>
            </w:r>
            <w:r>
              <w:rPr>
                <w:rFonts w:ascii="Times New Roman" w:hAnsi="Times New Roman"/>
                <w:sz w:val="24"/>
                <w:szCs w:val="24"/>
              </w:rPr>
              <w:t>,</w:t>
            </w:r>
            <w:r w:rsidRPr="00A90AB7">
              <w:rPr>
                <w:rFonts w:ascii="Times New Roman" w:hAnsi="Times New Roman"/>
                <w:sz w:val="24"/>
                <w:szCs w:val="24"/>
              </w:rPr>
              <w:t>000</w:t>
            </w:r>
          </w:p>
        </w:tc>
        <w:tc>
          <w:tcPr>
            <w:tcW w:w="1985" w:type="dxa"/>
            <w:shd w:val="clear" w:color="auto" w:fill="auto"/>
          </w:tcPr>
          <w:p w14:paraId="523D61E2" w14:textId="3867B08B" w:rsidR="006F7C5E" w:rsidRPr="00C02674" w:rsidRDefault="006F7C5E" w:rsidP="006F7C5E">
            <w:pPr>
              <w:spacing w:after="0" w:line="240" w:lineRule="auto"/>
              <w:jc w:val="right"/>
              <w:rPr>
                <w:rFonts w:ascii="Times New Roman" w:hAnsi="Times New Roman"/>
                <w:sz w:val="24"/>
                <w:szCs w:val="24"/>
              </w:rPr>
            </w:pPr>
            <w:r w:rsidRPr="006F7C5E">
              <w:rPr>
                <w:rFonts w:ascii="Times New Roman" w:hAnsi="Times New Roman"/>
                <w:sz w:val="24"/>
                <w:szCs w:val="24"/>
              </w:rPr>
              <w:t xml:space="preserve">                       125</w:t>
            </w:r>
          </w:p>
        </w:tc>
        <w:tc>
          <w:tcPr>
            <w:tcW w:w="2692" w:type="dxa"/>
            <w:shd w:val="clear" w:color="auto" w:fill="auto"/>
          </w:tcPr>
          <w:p w14:paraId="17E0FA6A" w14:textId="7CEC86F4" w:rsidR="006F7C5E" w:rsidRPr="00C02674" w:rsidRDefault="006F7C5E" w:rsidP="006F7C5E">
            <w:pPr>
              <w:spacing w:after="0" w:line="240" w:lineRule="auto"/>
              <w:jc w:val="right"/>
              <w:rPr>
                <w:rFonts w:ascii="Times New Roman" w:hAnsi="Times New Roman"/>
                <w:sz w:val="24"/>
                <w:szCs w:val="24"/>
              </w:rPr>
            </w:pPr>
            <w:r w:rsidRPr="006F7C5E">
              <w:rPr>
                <w:rFonts w:ascii="Times New Roman" w:hAnsi="Times New Roman"/>
                <w:sz w:val="24"/>
                <w:szCs w:val="24"/>
              </w:rPr>
              <w:t>863.935,37</w:t>
            </w:r>
          </w:p>
        </w:tc>
        <w:tc>
          <w:tcPr>
            <w:tcW w:w="1696" w:type="dxa"/>
            <w:shd w:val="clear" w:color="auto" w:fill="auto"/>
          </w:tcPr>
          <w:p w14:paraId="2CF369C9" w14:textId="3DCBCB63" w:rsidR="006F7C5E" w:rsidRPr="00C02674" w:rsidRDefault="006F7C5E" w:rsidP="006F7C5E">
            <w:pPr>
              <w:spacing w:after="0" w:line="240" w:lineRule="auto"/>
              <w:jc w:val="right"/>
              <w:rPr>
                <w:rFonts w:ascii="Times New Roman" w:hAnsi="Times New Roman"/>
                <w:sz w:val="24"/>
                <w:szCs w:val="24"/>
              </w:rPr>
            </w:pPr>
            <w:r w:rsidRPr="006F7C5E">
              <w:rPr>
                <w:rFonts w:ascii="Times New Roman" w:hAnsi="Times New Roman"/>
                <w:sz w:val="24"/>
                <w:szCs w:val="24"/>
              </w:rPr>
              <w:t>7,45</w:t>
            </w:r>
          </w:p>
        </w:tc>
      </w:tr>
      <w:tr w:rsidR="006F7C5E" w:rsidRPr="00A90AB7" w14:paraId="33F2F3B6" w14:textId="77777777" w:rsidTr="006F7C5E">
        <w:trPr>
          <w:trHeight w:val="315"/>
        </w:trPr>
        <w:tc>
          <w:tcPr>
            <w:tcW w:w="2967" w:type="dxa"/>
            <w:shd w:val="clear" w:color="auto" w:fill="auto"/>
            <w:hideMark/>
          </w:tcPr>
          <w:p w14:paraId="2C542B1C" w14:textId="58E5B935" w:rsidR="006F7C5E" w:rsidRPr="00A90AB7" w:rsidRDefault="006F7C5E" w:rsidP="006F7C5E">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10</w:t>
            </w:r>
            <w:r>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50</w:t>
            </w:r>
            <w:r>
              <w:rPr>
                <w:rFonts w:ascii="Times New Roman" w:hAnsi="Times New Roman"/>
                <w:sz w:val="24"/>
                <w:szCs w:val="24"/>
              </w:rPr>
              <w:t>,</w:t>
            </w:r>
            <w:r w:rsidRPr="00A90AB7">
              <w:rPr>
                <w:rFonts w:ascii="Times New Roman" w:hAnsi="Times New Roman"/>
                <w:sz w:val="24"/>
                <w:szCs w:val="24"/>
              </w:rPr>
              <w:t>000</w:t>
            </w:r>
          </w:p>
        </w:tc>
        <w:tc>
          <w:tcPr>
            <w:tcW w:w="1985" w:type="dxa"/>
            <w:shd w:val="clear" w:color="auto" w:fill="auto"/>
          </w:tcPr>
          <w:p w14:paraId="3406A864" w14:textId="395FEA95" w:rsidR="006F7C5E" w:rsidRPr="00C02674" w:rsidRDefault="006F7C5E" w:rsidP="006F7C5E">
            <w:pPr>
              <w:spacing w:after="0" w:line="240" w:lineRule="auto"/>
              <w:jc w:val="right"/>
              <w:rPr>
                <w:rFonts w:ascii="Times New Roman" w:hAnsi="Times New Roman"/>
                <w:sz w:val="24"/>
                <w:szCs w:val="24"/>
              </w:rPr>
            </w:pPr>
            <w:r w:rsidRPr="006F7C5E">
              <w:rPr>
                <w:rFonts w:ascii="Times New Roman" w:hAnsi="Times New Roman"/>
                <w:sz w:val="24"/>
                <w:szCs w:val="24"/>
              </w:rPr>
              <w:t>92</w:t>
            </w:r>
          </w:p>
        </w:tc>
        <w:tc>
          <w:tcPr>
            <w:tcW w:w="2692" w:type="dxa"/>
            <w:shd w:val="clear" w:color="auto" w:fill="auto"/>
          </w:tcPr>
          <w:p w14:paraId="7E76C849" w14:textId="2FB72DDF" w:rsidR="006F7C5E" w:rsidRPr="00C02674" w:rsidRDefault="006F7C5E" w:rsidP="006F7C5E">
            <w:pPr>
              <w:spacing w:after="0" w:line="240" w:lineRule="auto"/>
              <w:jc w:val="right"/>
              <w:rPr>
                <w:rFonts w:ascii="Times New Roman" w:hAnsi="Times New Roman"/>
                <w:sz w:val="24"/>
                <w:szCs w:val="24"/>
              </w:rPr>
            </w:pPr>
            <w:r w:rsidRPr="006F7C5E">
              <w:rPr>
                <w:rFonts w:ascii="Times New Roman" w:hAnsi="Times New Roman"/>
                <w:sz w:val="24"/>
                <w:szCs w:val="24"/>
              </w:rPr>
              <w:t>1.628.694,67</w:t>
            </w:r>
          </w:p>
        </w:tc>
        <w:tc>
          <w:tcPr>
            <w:tcW w:w="1696" w:type="dxa"/>
            <w:shd w:val="clear" w:color="auto" w:fill="auto"/>
          </w:tcPr>
          <w:p w14:paraId="2DEE8F0F" w14:textId="1A6207A3" w:rsidR="006F7C5E" w:rsidRPr="00C02674" w:rsidRDefault="006F7C5E" w:rsidP="006F7C5E">
            <w:pPr>
              <w:spacing w:after="0" w:line="240" w:lineRule="auto"/>
              <w:jc w:val="right"/>
              <w:rPr>
                <w:rFonts w:ascii="Times New Roman" w:hAnsi="Times New Roman"/>
                <w:sz w:val="24"/>
                <w:szCs w:val="24"/>
              </w:rPr>
            </w:pPr>
            <w:r w:rsidRPr="006F7C5E">
              <w:rPr>
                <w:rFonts w:ascii="Times New Roman" w:hAnsi="Times New Roman"/>
                <w:sz w:val="24"/>
                <w:szCs w:val="24"/>
              </w:rPr>
              <w:t>14,02</w:t>
            </w:r>
          </w:p>
        </w:tc>
      </w:tr>
      <w:tr w:rsidR="006F7C5E" w:rsidRPr="00A90AB7" w14:paraId="53AAF433" w14:textId="77777777" w:rsidTr="006F7C5E">
        <w:trPr>
          <w:trHeight w:val="315"/>
        </w:trPr>
        <w:tc>
          <w:tcPr>
            <w:tcW w:w="2967" w:type="dxa"/>
            <w:shd w:val="clear" w:color="auto" w:fill="auto"/>
            <w:hideMark/>
          </w:tcPr>
          <w:p w14:paraId="0A7C6EFA" w14:textId="4DCE5437" w:rsidR="006F7C5E" w:rsidRPr="00A90AB7" w:rsidRDefault="006F7C5E" w:rsidP="006F7C5E">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w:t>
            </w:r>
            <w:r>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500</w:t>
            </w:r>
            <w:r>
              <w:rPr>
                <w:rFonts w:ascii="Times New Roman" w:hAnsi="Times New Roman"/>
                <w:sz w:val="24"/>
                <w:szCs w:val="24"/>
              </w:rPr>
              <w:t>,</w:t>
            </w:r>
            <w:r w:rsidRPr="00A90AB7">
              <w:rPr>
                <w:rFonts w:ascii="Times New Roman" w:hAnsi="Times New Roman"/>
                <w:sz w:val="24"/>
                <w:szCs w:val="24"/>
              </w:rPr>
              <w:t>000</w:t>
            </w:r>
          </w:p>
        </w:tc>
        <w:tc>
          <w:tcPr>
            <w:tcW w:w="1985" w:type="dxa"/>
            <w:shd w:val="clear" w:color="auto" w:fill="auto"/>
          </w:tcPr>
          <w:p w14:paraId="62BA28D6" w14:textId="1D67B9A8" w:rsidR="006F7C5E" w:rsidRPr="00C02674" w:rsidRDefault="006F7C5E" w:rsidP="006F7C5E">
            <w:pPr>
              <w:spacing w:after="0" w:line="240" w:lineRule="auto"/>
              <w:jc w:val="right"/>
              <w:rPr>
                <w:rFonts w:ascii="Times New Roman" w:hAnsi="Times New Roman"/>
                <w:sz w:val="24"/>
                <w:szCs w:val="24"/>
              </w:rPr>
            </w:pPr>
            <w:r w:rsidRPr="006F7C5E">
              <w:rPr>
                <w:rFonts w:ascii="Times New Roman" w:hAnsi="Times New Roman"/>
                <w:sz w:val="24"/>
                <w:szCs w:val="24"/>
              </w:rPr>
              <w:t>10</w:t>
            </w:r>
          </w:p>
        </w:tc>
        <w:tc>
          <w:tcPr>
            <w:tcW w:w="2692" w:type="dxa"/>
            <w:shd w:val="clear" w:color="auto" w:fill="auto"/>
          </w:tcPr>
          <w:p w14:paraId="1ABD868A" w14:textId="2F4A25C5" w:rsidR="006F7C5E" w:rsidRPr="00C02674" w:rsidRDefault="006F7C5E" w:rsidP="006F7C5E">
            <w:pPr>
              <w:spacing w:after="0" w:line="240" w:lineRule="auto"/>
              <w:jc w:val="right"/>
              <w:rPr>
                <w:rFonts w:ascii="Times New Roman" w:hAnsi="Times New Roman"/>
                <w:sz w:val="24"/>
                <w:szCs w:val="24"/>
              </w:rPr>
            </w:pPr>
            <w:r w:rsidRPr="006F7C5E">
              <w:rPr>
                <w:rFonts w:ascii="Times New Roman" w:hAnsi="Times New Roman"/>
                <w:sz w:val="24"/>
                <w:szCs w:val="24"/>
              </w:rPr>
              <w:t>870.626,94</w:t>
            </w:r>
          </w:p>
        </w:tc>
        <w:tc>
          <w:tcPr>
            <w:tcW w:w="1696" w:type="dxa"/>
            <w:shd w:val="clear" w:color="auto" w:fill="auto"/>
          </w:tcPr>
          <w:p w14:paraId="73DF2C14" w14:textId="08A0C2E9" w:rsidR="006F7C5E" w:rsidRPr="00C02674" w:rsidRDefault="006F7C5E" w:rsidP="006F7C5E">
            <w:pPr>
              <w:spacing w:after="0" w:line="240" w:lineRule="auto"/>
              <w:jc w:val="right"/>
              <w:rPr>
                <w:rFonts w:ascii="Times New Roman" w:hAnsi="Times New Roman"/>
                <w:sz w:val="24"/>
                <w:szCs w:val="24"/>
              </w:rPr>
            </w:pPr>
            <w:r w:rsidRPr="006F7C5E">
              <w:rPr>
                <w:rFonts w:ascii="Times New Roman" w:hAnsi="Times New Roman"/>
                <w:sz w:val="24"/>
                <w:szCs w:val="24"/>
              </w:rPr>
              <w:t>7,55</w:t>
            </w:r>
          </w:p>
        </w:tc>
      </w:tr>
      <w:tr w:rsidR="006F7C5E" w:rsidRPr="00A90AB7" w14:paraId="656817C8" w14:textId="77777777" w:rsidTr="006F7C5E">
        <w:trPr>
          <w:trHeight w:val="315"/>
        </w:trPr>
        <w:tc>
          <w:tcPr>
            <w:tcW w:w="2967" w:type="dxa"/>
            <w:shd w:val="clear" w:color="auto" w:fill="auto"/>
            <w:hideMark/>
          </w:tcPr>
          <w:p w14:paraId="606728F5" w14:textId="2D9F124B" w:rsidR="006F7C5E" w:rsidRPr="00A90AB7" w:rsidRDefault="006F7C5E" w:rsidP="006F7C5E">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w:t>
            </w:r>
            <w:r>
              <w:rPr>
                <w:rFonts w:ascii="Times New Roman" w:hAnsi="Times New Roman"/>
                <w:sz w:val="24"/>
                <w:szCs w:val="24"/>
              </w:rPr>
              <w:t>ừ</w:t>
            </w:r>
            <w:proofErr w:type="spellEnd"/>
            <w:r w:rsidRPr="00A90AB7">
              <w:rPr>
                <w:rFonts w:ascii="Times New Roman" w:hAnsi="Times New Roman"/>
                <w:sz w:val="24"/>
                <w:szCs w:val="24"/>
              </w:rPr>
              <w:t xml:space="preserve"> 500</w:t>
            </w:r>
            <w:r>
              <w:rPr>
                <w:rFonts w:ascii="Times New Roman" w:hAnsi="Times New Roman"/>
                <w:sz w:val="24"/>
                <w:szCs w:val="24"/>
              </w:rPr>
              <w:t>,</w:t>
            </w:r>
            <w:r w:rsidRPr="00A90AB7">
              <w:rPr>
                <w:rFonts w:ascii="Times New Roman" w:hAnsi="Times New Roman"/>
                <w:sz w:val="24"/>
                <w:szCs w:val="24"/>
              </w:rPr>
              <w:t>000</w:t>
            </w:r>
          </w:p>
        </w:tc>
        <w:tc>
          <w:tcPr>
            <w:tcW w:w="1985" w:type="dxa"/>
            <w:shd w:val="clear" w:color="auto" w:fill="auto"/>
          </w:tcPr>
          <w:p w14:paraId="709B3670" w14:textId="388E2C38" w:rsidR="006F7C5E" w:rsidRPr="00C02674" w:rsidRDefault="006F7C5E" w:rsidP="006F7C5E">
            <w:pPr>
              <w:spacing w:after="0" w:line="240" w:lineRule="auto"/>
              <w:jc w:val="right"/>
              <w:rPr>
                <w:rFonts w:ascii="Times New Roman" w:hAnsi="Times New Roman"/>
                <w:sz w:val="24"/>
                <w:szCs w:val="24"/>
              </w:rPr>
            </w:pPr>
            <w:r w:rsidRPr="006F7C5E">
              <w:rPr>
                <w:rFonts w:ascii="Times New Roman" w:hAnsi="Times New Roman"/>
                <w:sz w:val="24"/>
                <w:szCs w:val="24"/>
              </w:rPr>
              <w:t>1</w:t>
            </w:r>
          </w:p>
        </w:tc>
        <w:tc>
          <w:tcPr>
            <w:tcW w:w="2692" w:type="dxa"/>
            <w:shd w:val="clear" w:color="auto" w:fill="auto"/>
          </w:tcPr>
          <w:p w14:paraId="0D84550F" w14:textId="60401790" w:rsidR="006F7C5E" w:rsidRPr="00C02674" w:rsidRDefault="006F7C5E" w:rsidP="006F7C5E">
            <w:pPr>
              <w:spacing w:after="0" w:line="240" w:lineRule="auto"/>
              <w:jc w:val="right"/>
              <w:rPr>
                <w:rFonts w:ascii="Times New Roman" w:hAnsi="Times New Roman"/>
                <w:sz w:val="24"/>
                <w:szCs w:val="24"/>
              </w:rPr>
            </w:pPr>
            <w:r w:rsidRPr="006F7C5E">
              <w:rPr>
                <w:rFonts w:ascii="Times New Roman" w:hAnsi="Times New Roman"/>
                <w:sz w:val="24"/>
                <w:szCs w:val="24"/>
              </w:rPr>
              <w:t>7.000.000,00</w:t>
            </w:r>
          </w:p>
        </w:tc>
        <w:tc>
          <w:tcPr>
            <w:tcW w:w="1696" w:type="dxa"/>
            <w:shd w:val="clear" w:color="auto" w:fill="auto"/>
          </w:tcPr>
          <w:p w14:paraId="28BFE95B" w14:textId="2A8342A7" w:rsidR="006F7C5E" w:rsidRPr="00C02674" w:rsidRDefault="006F7C5E" w:rsidP="006F7C5E">
            <w:pPr>
              <w:spacing w:after="0" w:line="240" w:lineRule="auto"/>
              <w:jc w:val="right"/>
              <w:rPr>
                <w:rFonts w:ascii="Times New Roman" w:hAnsi="Times New Roman"/>
                <w:sz w:val="24"/>
                <w:szCs w:val="24"/>
              </w:rPr>
            </w:pPr>
            <w:r w:rsidRPr="006F7C5E">
              <w:rPr>
                <w:rFonts w:ascii="Times New Roman" w:hAnsi="Times New Roman"/>
                <w:sz w:val="24"/>
                <w:szCs w:val="24"/>
              </w:rPr>
              <w:t>60,20</w:t>
            </w:r>
          </w:p>
        </w:tc>
      </w:tr>
      <w:tr w:rsidR="006F7C5E" w:rsidRPr="00A90AB7" w14:paraId="7A11D66F" w14:textId="77777777" w:rsidTr="006F7C5E">
        <w:trPr>
          <w:trHeight w:val="315"/>
        </w:trPr>
        <w:tc>
          <w:tcPr>
            <w:tcW w:w="2967" w:type="dxa"/>
            <w:shd w:val="clear" w:color="auto" w:fill="auto"/>
            <w:hideMark/>
          </w:tcPr>
          <w:p w14:paraId="656537AF" w14:textId="635B3763" w:rsidR="006F7C5E" w:rsidRPr="00A90AB7" w:rsidRDefault="006F7C5E" w:rsidP="006F7C5E">
            <w:pPr>
              <w:spacing w:after="0" w:line="240" w:lineRule="auto"/>
              <w:rPr>
                <w:rFonts w:ascii="Times New Roman" w:eastAsia="Times New Roman" w:hAnsi="Times New Roman"/>
                <w:b/>
                <w:bCs/>
                <w:sz w:val="24"/>
                <w:szCs w:val="24"/>
              </w:rPr>
            </w:pPr>
            <w:proofErr w:type="spellStart"/>
            <w:r w:rsidRPr="00A90AB7">
              <w:rPr>
                <w:rFonts w:ascii="Times New Roman" w:hAnsi="Times New Roman"/>
                <w:b/>
                <w:bCs/>
                <w:sz w:val="24"/>
                <w:szCs w:val="24"/>
              </w:rPr>
              <w:t>Tổng</w:t>
            </w:r>
            <w:proofErr w:type="spellEnd"/>
            <w:r w:rsidRPr="00A90AB7">
              <w:rPr>
                <w:rFonts w:ascii="Times New Roman" w:hAnsi="Times New Roman"/>
                <w:b/>
                <w:bCs/>
                <w:sz w:val="24"/>
                <w:szCs w:val="24"/>
              </w:rPr>
              <w:t xml:space="preserve"> </w:t>
            </w:r>
            <w:proofErr w:type="spellStart"/>
            <w:r w:rsidRPr="00A90AB7">
              <w:rPr>
                <w:rFonts w:ascii="Times New Roman" w:hAnsi="Times New Roman"/>
                <w:b/>
                <w:bCs/>
                <w:sz w:val="24"/>
                <w:szCs w:val="24"/>
              </w:rPr>
              <w:t>cộng</w:t>
            </w:r>
            <w:proofErr w:type="spellEnd"/>
          </w:p>
        </w:tc>
        <w:tc>
          <w:tcPr>
            <w:tcW w:w="1985" w:type="dxa"/>
            <w:shd w:val="clear" w:color="auto" w:fill="auto"/>
          </w:tcPr>
          <w:p w14:paraId="77162138" w14:textId="2337E0AC" w:rsidR="006F7C5E" w:rsidRPr="006F7C5E" w:rsidRDefault="006F7C5E" w:rsidP="006F7C5E">
            <w:pPr>
              <w:spacing w:after="0" w:line="240" w:lineRule="auto"/>
              <w:jc w:val="right"/>
              <w:rPr>
                <w:rFonts w:ascii="Times New Roman" w:hAnsi="Times New Roman"/>
                <w:b/>
                <w:bCs/>
                <w:sz w:val="24"/>
                <w:szCs w:val="24"/>
              </w:rPr>
            </w:pPr>
            <w:r w:rsidRPr="006F7C5E">
              <w:rPr>
                <w:rFonts w:ascii="Times New Roman" w:hAnsi="Times New Roman"/>
                <w:b/>
                <w:bCs/>
                <w:sz w:val="24"/>
                <w:szCs w:val="24"/>
              </w:rPr>
              <w:t>1.749</w:t>
            </w:r>
          </w:p>
        </w:tc>
        <w:tc>
          <w:tcPr>
            <w:tcW w:w="2692" w:type="dxa"/>
            <w:shd w:val="clear" w:color="auto" w:fill="auto"/>
          </w:tcPr>
          <w:p w14:paraId="270549B9" w14:textId="14A9A376" w:rsidR="006F7C5E" w:rsidRPr="006F7C5E" w:rsidRDefault="006F7C5E" w:rsidP="006F7C5E">
            <w:pPr>
              <w:spacing w:after="0" w:line="240" w:lineRule="auto"/>
              <w:jc w:val="right"/>
              <w:rPr>
                <w:rFonts w:ascii="Times New Roman" w:hAnsi="Times New Roman"/>
                <w:b/>
                <w:bCs/>
                <w:sz w:val="24"/>
                <w:szCs w:val="24"/>
              </w:rPr>
            </w:pPr>
            <w:r w:rsidRPr="006F7C5E">
              <w:rPr>
                <w:rFonts w:ascii="Times New Roman" w:hAnsi="Times New Roman"/>
                <w:b/>
                <w:bCs/>
                <w:sz w:val="24"/>
                <w:szCs w:val="24"/>
              </w:rPr>
              <w:t>11.615.286,07</w:t>
            </w:r>
          </w:p>
        </w:tc>
        <w:tc>
          <w:tcPr>
            <w:tcW w:w="1696" w:type="dxa"/>
            <w:shd w:val="clear" w:color="auto" w:fill="auto"/>
          </w:tcPr>
          <w:p w14:paraId="10E9F2BC" w14:textId="47DDFEC2" w:rsidR="006F7C5E" w:rsidRPr="006F7C5E" w:rsidRDefault="006F7C5E" w:rsidP="006F7C5E">
            <w:pPr>
              <w:spacing w:after="0" w:line="240" w:lineRule="auto"/>
              <w:jc w:val="right"/>
              <w:rPr>
                <w:rFonts w:ascii="Times New Roman" w:hAnsi="Times New Roman"/>
                <w:b/>
                <w:bCs/>
                <w:sz w:val="24"/>
                <w:szCs w:val="24"/>
              </w:rPr>
            </w:pPr>
            <w:r w:rsidRPr="006F7C5E">
              <w:rPr>
                <w:rFonts w:ascii="Times New Roman" w:hAnsi="Times New Roman"/>
                <w:b/>
                <w:bCs/>
                <w:sz w:val="24"/>
                <w:szCs w:val="24"/>
              </w:rPr>
              <w:t>100,00</w:t>
            </w:r>
          </w:p>
        </w:tc>
      </w:tr>
    </w:tbl>
    <w:p w14:paraId="6B5618EA" w14:textId="6EBF5635" w:rsidR="00BE6F63" w:rsidRPr="00A90AB7" w:rsidRDefault="007B27C8" w:rsidP="0083372E">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b/>
          <w:sz w:val="24"/>
          <w:szCs w:val="24"/>
          <w:lang w:val="nl-NL"/>
        </w:rPr>
        <w:t>4.3</w:t>
      </w:r>
      <w:r w:rsidR="00BE6F63" w:rsidRPr="00A90AB7">
        <w:rPr>
          <w:rFonts w:ascii="Times New Roman" w:hAnsi="Times New Roman"/>
          <w:b/>
          <w:sz w:val="24"/>
          <w:szCs w:val="24"/>
          <w:lang w:val="nl-NL"/>
        </w:rPr>
        <w:t>.</w:t>
      </w:r>
      <w:r w:rsidR="00BE6F63" w:rsidRPr="00A90AB7">
        <w:rPr>
          <w:rFonts w:ascii="Times New Roman" w:hAnsi="Times New Roman"/>
          <w:sz w:val="24"/>
          <w:szCs w:val="24"/>
          <w:lang w:val="nl-NL"/>
        </w:rPr>
        <w:t xml:space="preserve"> </w:t>
      </w:r>
      <w:r w:rsidR="00BE6F63" w:rsidRPr="00A90AB7">
        <w:rPr>
          <w:rFonts w:ascii="Times New Roman" w:hAnsi="Times New Roman"/>
          <w:b/>
          <w:sz w:val="24"/>
          <w:szCs w:val="24"/>
          <w:lang w:val="nl-NL"/>
        </w:rPr>
        <w:t>Chi phí ngầm và giảm giá</w:t>
      </w:r>
    </w:p>
    <w:p w14:paraId="5AC400FC" w14:textId="7E612B93" w:rsidR="008971AB" w:rsidRPr="00A90AB7" w:rsidRDefault="008971AB"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có chi phí ngầm. Tất cả các chi phí của Quỹ được quy định chi tiết trong điều lệ Quỹ và bản cáo bạch.</w:t>
      </w:r>
    </w:p>
    <w:p w14:paraId="70D1A028" w14:textId="77777777" w:rsidR="00E0018A" w:rsidRDefault="00E0018A" w:rsidP="00315A8E">
      <w:pPr>
        <w:shd w:val="clear" w:color="auto" w:fill="FFFFFF"/>
        <w:tabs>
          <w:tab w:val="left" w:pos="540"/>
        </w:tabs>
        <w:spacing w:after="0" w:line="240" w:lineRule="auto"/>
        <w:jc w:val="both"/>
        <w:rPr>
          <w:rFonts w:ascii="Times New Roman" w:hAnsi="Times New Roman"/>
          <w:sz w:val="24"/>
          <w:szCs w:val="24"/>
          <w:lang w:val="nl-NL"/>
        </w:rPr>
      </w:pPr>
    </w:p>
    <w:p w14:paraId="400BEC78" w14:textId="77777777" w:rsidR="00E81C98" w:rsidRDefault="00E81C98" w:rsidP="00315A8E">
      <w:pPr>
        <w:shd w:val="clear" w:color="auto" w:fill="FFFFFF"/>
        <w:tabs>
          <w:tab w:val="left" w:pos="540"/>
        </w:tabs>
        <w:spacing w:after="0" w:line="240" w:lineRule="auto"/>
        <w:jc w:val="both"/>
        <w:rPr>
          <w:rFonts w:ascii="Times New Roman" w:hAnsi="Times New Roman"/>
          <w:sz w:val="24"/>
          <w:szCs w:val="24"/>
          <w:lang w:val="nl-NL"/>
        </w:rPr>
      </w:pPr>
    </w:p>
    <w:p w14:paraId="3314262C" w14:textId="77777777" w:rsidR="00E81C98" w:rsidRDefault="00E81C98" w:rsidP="00315A8E">
      <w:pPr>
        <w:shd w:val="clear" w:color="auto" w:fill="FFFFFF"/>
        <w:tabs>
          <w:tab w:val="left" w:pos="540"/>
        </w:tabs>
        <w:spacing w:after="0" w:line="240" w:lineRule="auto"/>
        <w:jc w:val="both"/>
        <w:rPr>
          <w:rFonts w:ascii="Times New Roman" w:hAnsi="Times New Roman"/>
          <w:sz w:val="24"/>
          <w:szCs w:val="24"/>
          <w:lang w:val="nl-NL"/>
        </w:rPr>
      </w:pPr>
    </w:p>
    <w:p w14:paraId="24C642A9" w14:textId="77777777" w:rsidR="00E81C98" w:rsidRPr="00A90AB7" w:rsidRDefault="00E81C98"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1331673F" w:rsidR="00BE6F63" w:rsidRPr="00181C49"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81C98">
        <w:rPr>
          <w:rFonts w:ascii="Times New Roman" w:hAnsi="Times New Roman"/>
          <w:b/>
          <w:sz w:val="24"/>
          <w:szCs w:val="24"/>
          <w:lang w:val="nl-NL"/>
        </w:rPr>
        <w:t>5</w:t>
      </w:r>
      <w:r w:rsidR="00BE6F63" w:rsidRPr="00E81C98">
        <w:rPr>
          <w:rFonts w:ascii="Times New Roman" w:hAnsi="Times New Roman"/>
          <w:b/>
          <w:sz w:val="24"/>
          <w:szCs w:val="24"/>
          <w:lang w:val="nl-NL"/>
        </w:rPr>
        <w:t>. Thông tin về triển vọng thị trường</w:t>
      </w:r>
    </w:p>
    <w:p w14:paraId="4C741B24" w14:textId="77777777" w:rsidR="006F7C5E" w:rsidRPr="006A39DF" w:rsidRDefault="006F7C5E" w:rsidP="006F7C5E">
      <w:pPr>
        <w:shd w:val="clear" w:color="auto" w:fill="FFFFFF"/>
        <w:tabs>
          <w:tab w:val="left" w:pos="540"/>
        </w:tabs>
        <w:spacing w:before="120" w:after="0" w:line="240" w:lineRule="auto"/>
        <w:jc w:val="both"/>
        <w:rPr>
          <w:rFonts w:ascii="Times New Roman" w:hAnsi="Times New Roman"/>
          <w:sz w:val="24"/>
          <w:szCs w:val="24"/>
        </w:rPr>
      </w:pPr>
      <w:proofErr w:type="spellStart"/>
      <w:r w:rsidRPr="006A39DF">
        <w:rPr>
          <w:rFonts w:ascii="Times New Roman" w:hAnsi="Times New Roman"/>
          <w:sz w:val="24"/>
          <w:szCs w:val="24"/>
        </w:rPr>
        <w:t>Biểu</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đồ</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bên</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dưới</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thể</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hiện</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diễn</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biến</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chỉ</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số</w:t>
      </w:r>
      <w:proofErr w:type="spellEnd"/>
      <w:r w:rsidRPr="006A39DF">
        <w:rPr>
          <w:rFonts w:ascii="Times New Roman" w:hAnsi="Times New Roman"/>
          <w:sz w:val="24"/>
          <w:szCs w:val="24"/>
        </w:rPr>
        <w:t xml:space="preserve"> VN-index (</w:t>
      </w:r>
      <w:proofErr w:type="spellStart"/>
      <w:r w:rsidRPr="006A39DF">
        <w:rPr>
          <w:rFonts w:ascii="Times New Roman" w:hAnsi="Times New Roman"/>
          <w:sz w:val="24"/>
          <w:szCs w:val="24"/>
        </w:rPr>
        <w:t>dây</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màu</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xanh</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chiếu</w:t>
      </w:r>
      <w:proofErr w:type="spellEnd"/>
      <w:r w:rsidRPr="006A39DF">
        <w:rPr>
          <w:rFonts w:ascii="Times New Roman" w:hAnsi="Times New Roman"/>
          <w:sz w:val="24"/>
          <w:szCs w:val="24"/>
        </w:rPr>
        <w:t xml:space="preserve"> qua </w:t>
      </w:r>
      <w:proofErr w:type="spellStart"/>
      <w:r w:rsidRPr="006A39DF">
        <w:rPr>
          <w:rFonts w:ascii="Times New Roman" w:hAnsi="Times New Roman"/>
          <w:sz w:val="24"/>
          <w:szCs w:val="24"/>
        </w:rPr>
        <w:t>trục</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bên</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phải</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và</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giá</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trị</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giao</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dịch</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cột</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màu</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đỏ</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chiếu</w:t>
      </w:r>
      <w:proofErr w:type="spellEnd"/>
      <w:r w:rsidRPr="006A39DF">
        <w:rPr>
          <w:rFonts w:ascii="Times New Roman" w:hAnsi="Times New Roman"/>
          <w:sz w:val="24"/>
          <w:szCs w:val="24"/>
        </w:rPr>
        <w:t xml:space="preserve"> qua </w:t>
      </w:r>
      <w:proofErr w:type="spellStart"/>
      <w:r w:rsidRPr="006A39DF">
        <w:rPr>
          <w:rFonts w:ascii="Times New Roman" w:hAnsi="Times New Roman"/>
          <w:sz w:val="24"/>
          <w:szCs w:val="24"/>
        </w:rPr>
        <w:t>trục</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bên</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trái</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đơn</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vị</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tỷ</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đồng</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ngày</w:t>
      </w:r>
      <w:proofErr w:type="spellEnd"/>
      <w:r w:rsidRPr="006A39DF">
        <w:rPr>
          <w:rFonts w:ascii="Times New Roman" w:hAnsi="Times New Roman"/>
          <w:sz w:val="24"/>
          <w:szCs w:val="24"/>
        </w:rPr>
        <w:t>)</w:t>
      </w:r>
    </w:p>
    <w:p w14:paraId="1D42199C" w14:textId="77777777" w:rsidR="006F7C5E" w:rsidRDefault="006F7C5E" w:rsidP="006F7C5E">
      <w:pPr>
        <w:shd w:val="clear" w:color="auto" w:fill="FFFFFF"/>
        <w:tabs>
          <w:tab w:val="left" w:pos="540"/>
        </w:tabs>
        <w:spacing w:before="120" w:after="0" w:line="240" w:lineRule="auto"/>
        <w:jc w:val="both"/>
        <w:rPr>
          <w:rFonts w:ascii="Times New Roman" w:hAnsi="Times New Roman"/>
          <w:sz w:val="24"/>
          <w:szCs w:val="24"/>
        </w:rPr>
      </w:pPr>
      <w:r>
        <w:rPr>
          <w:rFonts w:ascii="Times New Roman" w:hAnsi="Times New Roman"/>
          <w:noProof/>
          <w:sz w:val="24"/>
          <w:szCs w:val="24"/>
        </w:rPr>
        <w:drawing>
          <wp:inline distT="0" distB="0" distL="0" distR="0" wp14:anchorId="5A7070FC" wp14:editId="30B7F1E2">
            <wp:extent cx="5915025" cy="3352800"/>
            <wp:effectExtent l="0" t="0" r="9525" b="0"/>
            <wp:docPr id="1450365979" name="Picture 1"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365979" name="Picture 1" descr="A graph of a graph&#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3640" cy="3380356"/>
                    </a:xfrm>
                    <a:prstGeom prst="rect">
                      <a:avLst/>
                    </a:prstGeom>
                    <a:noFill/>
                  </pic:spPr>
                </pic:pic>
              </a:graphicData>
            </a:graphic>
          </wp:inline>
        </w:drawing>
      </w:r>
    </w:p>
    <w:p w14:paraId="0BDD2DDF" w14:textId="77777777" w:rsidR="006F7C5E" w:rsidRPr="00463E77" w:rsidRDefault="006F7C5E" w:rsidP="006F7C5E">
      <w:pPr>
        <w:shd w:val="clear" w:color="auto" w:fill="FFFFFF"/>
        <w:tabs>
          <w:tab w:val="left" w:pos="540"/>
        </w:tabs>
        <w:spacing w:before="120" w:after="0" w:line="240" w:lineRule="auto"/>
        <w:jc w:val="both"/>
        <w:rPr>
          <w:rFonts w:ascii="Times New Roman" w:hAnsi="Times New Roman"/>
          <w:sz w:val="24"/>
          <w:szCs w:val="24"/>
        </w:rPr>
      </w:pPr>
      <w:r w:rsidRPr="0083665A">
        <w:rPr>
          <w:rFonts w:ascii="Times New Roman" w:hAnsi="Times New Roman"/>
          <w:sz w:val="24"/>
          <w:szCs w:val="24"/>
        </w:rPr>
        <w:t xml:space="preserve">Thị </w:t>
      </w:r>
      <w:proofErr w:type="spellStart"/>
      <w:r w:rsidRPr="0083665A">
        <w:rPr>
          <w:rFonts w:ascii="Times New Roman" w:hAnsi="Times New Roman"/>
          <w:sz w:val="24"/>
          <w:szCs w:val="24"/>
        </w:rPr>
        <w:t>trường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chứng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khoán</w:t>
      </w:r>
      <w:proofErr w:type="spellEnd"/>
      <w:r w:rsidRPr="0083665A">
        <w:rPr>
          <w:rFonts w:ascii="Times New Roman" w:hAnsi="Times New Roman"/>
          <w:sz w:val="24"/>
          <w:szCs w:val="24"/>
        </w:rPr>
        <w:t xml:space="preserve"> Việt Nam </w:t>
      </w:r>
      <w:proofErr w:type="spellStart"/>
      <w:r w:rsidRPr="0083665A">
        <w:rPr>
          <w:rFonts w:ascii="Times New Roman" w:hAnsi="Times New Roman"/>
          <w:sz w:val="24"/>
          <w:szCs w:val="24"/>
        </w:rPr>
        <w:t>trong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quý</w:t>
      </w:r>
      <w:proofErr w:type="spellEnd"/>
      <w:r w:rsidRPr="0083665A">
        <w:rPr>
          <w:rFonts w:ascii="Times New Roman" w:hAnsi="Times New Roman"/>
          <w:sz w:val="24"/>
          <w:szCs w:val="24"/>
        </w:rPr>
        <w:t xml:space="preserve"> 4 </w:t>
      </w:r>
      <w:proofErr w:type="spellStart"/>
      <w:r w:rsidRPr="0083665A">
        <w:rPr>
          <w:rFonts w:ascii="Times New Roman" w:hAnsi="Times New Roman"/>
          <w:sz w:val="24"/>
          <w:szCs w:val="24"/>
        </w:rPr>
        <w:t>năm</w:t>
      </w:r>
      <w:proofErr w:type="spellEnd"/>
      <w:r w:rsidRPr="0083665A">
        <w:rPr>
          <w:rFonts w:ascii="Times New Roman" w:hAnsi="Times New Roman"/>
          <w:sz w:val="24"/>
          <w:szCs w:val="24"/>
        </w:rPr>
        <w:t xml:space="preserve"> 2023 </w:t>
      </w:r>
      <w:proofErr w:type="spellStart"/>
      <w:r w:rsidRPr="0083665A">
        <w:rPr>
          <w:rFonts w:ascii="Times New Roman" w:hAnsi="Times New Roman"/>
          <w:sz w:val="24"/>
          <w:szCs w:val="24"/>
        </w:rPr>
        <w:t>giảm</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nhẹ</w:t>
      </w:r>
      <w:proofErr w:type="spellEnd"/>
      <w:r w:rsidRPr="0083665A">
        <w:rPr>
          <w:rFonts w:ascii="Times New Roman" w:hAnsi="Times New Roman"/>
          <w:sz w:val="24"/>
          <w:szCs w:val="24"/>
        </w:rPr>
        <w:t xml:space="preserve"> 2,1% so </w:t>
      </w:r>
      <w:proofErr w:type="spellStart"/>
      <w:r w:rsidRPr="0083665A">
        <w:rPr>
          <w:rFonts w:ascii="Times New Roman" w:hAnsi="Times New Roman"/>
          <w:sz w:val="24"/>
          <w:szCs w:val="24"/>
        </w:rPr>
        <w:t>với</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cuối</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quý</w:t>
      </w:r>
      <w:proofErr w:type="spellEnd"/>
      <w:r w:rsidRPr="0083665A">
        <w:rPr>
          <w:rFonts w:ascii="Times New Roman" w:hAnsi="Times New Roman"/>
          <w:sz w:val="24"/>
          <w:szCs w:val="24"/>
        </w:rPr>
        <w:t xml:space="preserve"> 3, </w:t>
      </w:r>
      <w:proofErr w:type="spellStart"/>
      <w:r w:rsidRPr="0083665A">
        <w:rPr>
          <w:rFonts w:ascii="Times New Roman" w:hAnsi="Times New Roman"/>
          <w:sz w:val="24"/>
          <w:szCs w:val="24"/>
        </w:rPr>
        <w:t>tuy</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nhiên</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tính</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chung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cả</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năm</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Vn</w:t>
      </w:r>
      <w:proofErr w:type="spellEnd"/>
      <w:r w:rsidRPr="0083665A">
        <w:rPr>
          <w:rFonts w:ascii="Times New Roman" w:hAnsi="Times New Roman"/>
          <w:sz w:val="24"/>
          <w:szCs w:val="24"/>
        </w:rPr>
        <w:t xml:space="preserve">-index </w:t>
      </w:r>
      <w:proofErr w:type="spellStart"/>
      <w:r w:rsidRPr="0083665A">
        <w:rPr>
          <w:rFonts w:ascii="Times New Roman" w:hAnsi="Times New Roman"/>
          <w:sz w:val="24"/>
          <w:szCs w:val="24"/>
        </w:rPr>
        <w:t>tăng</w:t>
      </w:r>
      <w:proofErr w:type="spellEnd"/>
      <w:r w:rsidRPr="0083665A">
        <w:rPr>
          <w:rFonts w:ascii="Times New Roman" w:hAnsi="Times New Roman"/>
          <w:sz w:val="24"/>
          <w:szCs w:val="24"/>
        </w:rPr>
        <w:t xml:space="preserve"> 12,2% so </w:t>
      </w:r>
      <w:proofErr w:type="spellStart"/>
      <w:r w:rsidRPr="0083665A">
        <w:rPr>
          <w:rFonts w:ascii="Times New Roman" w:hAnsi="Times New Roman"/>
          <w:sz w:val="24"/>
          <w:szCs w:val="24"/>
        </w:rPr>
        <w:t>với</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cuối</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năm</w:t>
      </w:r>
      <w:proofErr w:type="spellEnd"/>
      <w:r w:rsidRPr="0083665A">
        <w:rPr>
          <w:rFonts w:ascii="Times New Roman" w:hAnsi="Times New Roman"/>
          <w:sz w:val="24"/>
          <w:szCs w:val="24"/>
        </w:rPr>
        <w:t xml:space="preserve"> 2022. Thị </w:t>
      </w:r>
      <w:proofErr w:type="spellStart"/>
      <w:r w:rsidRPr="0083665A">
        <w:rPr>
          <w:rFonts w:ascii="Times New Roman" w:hAnsi="Times New Roman"/>
          <w:sz w:val="24"/>
          <w:szCs w:val="24"/>
        </w:rPr>
        <w:t>trường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trong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giai</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đoạn</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cuối</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năm</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hiện</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phản</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ánh</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tâm</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lý</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lưỡng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lự</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của</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các</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nhà</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đầu</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tư</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trước</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các</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rủi</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ro</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của</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thị</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trường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và</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các</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cơ</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hội</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từ</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sự</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phục</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hồi</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của</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nền</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kinh</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tế</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trong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nửa</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cuối</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năm</w:t>
      </w:r>
      <w:proofErr w:type="spellEnd"/>
      <w:r w:rsidRPr="0083665A">
        <w:rPr>
          <w:rFonts w:ascii="Times New Roman" w:hAnsi="Times New Roman"/>
          <w:sz w:val="24"/>
          <w:szCs w:val="24"/>
        </w:rPr>
        <w:t xml:space="preserve"> 2023 </w:t>
      </w:r>
      <w:proofErr w:type="spellStart"/>
      <w:r w:rsidRPr="0083665A">
        <w:rPr>
          <w:rFonts w:ascii="Times New Roman" w:hAnsi="Times New Roman"/>
          <w:sz w:val="24"/>
          <w:szCs w:val="24"/>
        </w:rPr>
        <w:t>và</w:t>
      </w:r>
      <w:proofErr w:type="spellEnd"/>
      <w:r w:rsidRPr="0083665A">
        <w:rPr>
          <w:rFonts w:ascii="Times New Roman" w:hAnsi="Times New Roman"/>
          <w:sz w:val="24"/>
          <w:szCs w:val="24"/>
        </w:rPr>
        <w:t xml:space="preserve"> 2024, </w:t>
      </w:r>
      <w:proofErr w:type="spellStart"/>
      <w:r w:rsidRPr="0083665A">
        <w:rPr>
          <w:rFonts w:ascii="Times New Roman" w:hAnsi="Times New Roman"/>
          <w:sz w:val="24"/>
          <w:szCs w:val="24"/>
        </w:rPr>
        <w:t>dẫn</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đến</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các</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nhà</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đầu</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tư</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có</w:t>
      </w:r>
      <w:proofErr w:type="spellEnd"/>
      <w:r w:rsidRPr="0083665A">
        <w:rPr>
          <w:rFonts w:ascii="Times New Roman" w:hAnsi="Times New Roman"/>
          <w:sz w:val="24"/>
          <w:szCs w:val="24"/>
        </w:rPr>
        <w:t xml:space="preserve"> xu </w:t>
      </w:r>
      <w:proofErr w:type="spellStart"/>
      <w:r w:rsidRPr="0083665A">
        <w:rPr>
          <w:rFonts w:ascii="Times New Roman" w:hAnsi="Times New Roman"/>
          <w:sz w:val="24"/>
          <w:szCs w:val="24"/>
        </w:rPr>
        <w:t>hướng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giao</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dịch</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lướt</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sóng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trong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ngắn</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hạn</w:t>
      </w:r>
      <w:proofErr w:type="spellEnd"/>
      <w:r w:rsidRPr="0083665A">
        <w:rPr>
          <w:rFonts w:ascii="Times New Roman" w:hAnsi="Times New Roman"/>
          <w:sz w:val="24"/>
          <w:szCs w:val="24"/>
        </w:rPr>
        <w:t xml:space="preserve">. Do </w:t>
      </w:r>
      <w:proofErr w:type="spellStart"/>
      <w:r w:rsidRPr="0083665A">
        <w:rPr>
          <w:rFonts w:ascii="Times New Roman" w:hAnsi="Times New Roman"/>
          <w:sz w:val="24"/>
          <w:szCs w:val="24"/>
        </w:rPr>
        <w:t>đó</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thị</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trường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có</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những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phiên</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tăng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giảm</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đan</w:t>
      </w:r>
      <w:proofErr w:type="spellEnd"/>
      <w:r w:rsidRPr="0083665A">
        <w:rPr>
          <w:rFonts w:ascii="Times New Roman" w:hAnsi="Times New Roman"/>
          <w:sz w:val="24"/>
          <w:szCs w:val="24"/>
        </w:rPr>
        <w:t xml:space="preserve"> xen, xu </w:t>
      </w:r>
      <w:proofErr w:type="spellStart"/>
      <w:r w:rsidRPr="0083665A">
        <w:rPr>
          <w:rFonts w:ascii="Times New Roman" w:hAnsi="Times New Roman"/>
          <w:sz w:val="24"/>
          <w:szCs w:val="24"/>
        </w:rPr>
        <w:t>hướng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thị</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trường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trong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giai</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đoạn</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này</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là</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chưa</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rõ</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ràng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Chỉ</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số</w:t>
      </w:r>
      <w:proofErr w:type="spellEnd"/>
      <w:r w:rsidRPr="0083665A">
        <w:rPr>
          <w:rFonts w:ascii="Times New Roman" w:hAnsi="Times New Roman"/>
          <w:sz w:val="24"/>
          <w:szCs w:val="24"/>
        </w:rPr>
        <w:t xml:space="preserve"> VN-index </w:t>
      </w:r>
      <w:proofErr w:type="spellStart"/>
      <w:r w:rsidRPr="0083665A">
        <w:rPr>
          <w:rFonts w:ascii="Times New Roman" w:hAnsi="Times New Roman"/>
          <w:sz w:val="24"/>
          <w:szCs w:val="24"/>
        </w:rPr>
        <w:t>đóng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cửa</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ngày</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giao</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dịch</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cuối</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cùng</w:t>
      </w:r>
      <w:proofErr w:type="spellEnd"/>
      <w:r w:rsidRPr="0083665A">
        <w:rPr>
          <w:rFonts w:ascii="Times New Roman" w:hAnsi="Times New Roman"/>
          <w:sz w:val="24"/>
          <w:szCs w:val="24"/>
        </w:rPr>
        <w:t xml:space="preserve"> 29 </w:t>
      </w:r>
      <w:proofErr w:type="spellStart"/>
      <w:r w:rsidRPr="0083665A">
        <w:rPr>
          <w:rFonts w:ascii="Times New Roman" w:hAnsi="Times New Roman"/>
          <w:sz w:val="24"/>
          <w:szCs w:val="24"/>
        </w:rPr>
        <w:t>tháng</w:t>
      </w:r>
      <w:proofErr w:type="spellEnd"/>
      <w:r w:rsidRPr="0083665A">
        <w:rPr>
          <w:rFonts w:ascii="Times New Roman" w:hAnsi="Times New Roman"/>
          <w:sz w:val="24"/>
          <w:szCs w:val="24"/>
        </w:rPr>
        <w:t xml:space="preserve"> 12 </w:t>
      </w:r>
      <w:proofErr w:type="spellStart"/>
      <w:r w:rsidRPr="0083665A">
        <w:rPr>
          <w:rFonts w:ascii="Times New Roman" w:hAnsi="Times New Roman"/>
          <w:sz w:val="24"/>
          <w:szCs w:val="24"/>
        </w:rPr>
        <w:t>năm</w:t>
      </w:r>
      <w:proofErr w:type="spellEnd"/>
      <w:r w:rsidRPr="0083665A">
        <w:rPr>
          <w:rFonts w:ascii="Times New Roman" w:hAnsi="Times New Roman"/>
          <w:sz w:val="24"/>
          <w:szCs w:val="24"/>
        </w:rPr>
        <w:t xml:space="preserve"> 2023 </w:t>
      </w:r>
      <w:proofErr w:type="spellStart"/>
      <w:r w:rsidRPr="0083665A">
        <w:rPr>
          <w:rFonts w:ascii="Times New Roman" w:hAnsi="Times New Roman"/>
          <w:sz w:val="24"/>
          <w:szCs w:val="24"/>
        </w:rPr>
        <w:t>đạt</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gần</w:t>
      </w:r>
      <w:proofErr w:type="spellEnd"/>
      <w:r w:rsidRPr="0083665A">
        <w:rPr>
          <w:rFonts w:ascii="Times New Roman" w:hAnsi="Times New Roman"/>
          <w:sz w:val="24"/>
          <w:szCs w:val="24"/>
        </w:rPr>
        <w:t xml:space="preserve"> 1.130 </w:t>
      </w:r>
      <w:proofErr w:type="spellStart"/>
      <w:r w:rsidRPr="0083665A">
        <w:rPr>
          <w:rFonts w:ascii="Times New Roman" w:hAnsi="Times New Roman"/>
          <w:sz w:val="24"/>
          <w:szCs w:val="24"/>
        </w:rPr>
        <w:t>điểm</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từ</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mức</w:t>
      </w:r>
      <w:proofErr w:type="spellEnd"/>
      <w:r w:rsidRPr="0083665A">
        <w:rPr>
          <w:rFonts w:ascii="Times New Roman" w:hAnsi="Times New Roman"/>
          <w:sz w:val="24"/>
          <w:szCs w:val="24"/>
        </w:rPr>
        <w:t xml:space="preserve"> 1.154 </w:t>
      </w:r>
      <w:proofErr w:type="spellStart"/>
      <w:r w:rsidRPr="0083665A">
        <w:rPr>
          <w:rFonts w:ascii="Times New Roman" w:hAnsi="Times New Roman"/>
          <w:sz w:val="24"/>
          <w:szCs w:val="24"/>
        </w:rPr>
        <w:t>của</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cuối</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tháng</w:t>
      </w:r>
      <w:proofErr w:type="spellEnd"/>
      <w:r w:rsidRPr="0083665A">
        <w:rPr>
          <w:rFonts w:ascii="Times New Roman" w:hAnsi="Times New Roman"/>
          <w:sz w:val="24"/>
          <w:szCs w:val="24"/>
        </w:rPr>
        <w:t xml:space="preserve"> 9 </w:t>
      </w:r>
      <w:proofErr w:type="spellStart"/>
      <w:r w:rsidRPr="0083665A">
        <w:rPr>
          <w:rFonts w:ascii="Times New Roman" w:hAnsi="Times New Roman"/>
          <w:sz w:val="24"/>
          <w:szCs w:val="24"/>
        </w:rPr>
        <w:t>năm</w:t>
      </w:r>
      <w:proofErr w:type="spellEnd"/>
      <w:r w:rsidRPr="0083665A">
        <w:rPr>
          <w:rFonts w:ascii="Times New Roman" w:hAnsi="Times New Roman"/>
          <w:sz w:val="24"/>
          <w:szCs w:val="24"/>
        </w:rPr>
        <w:t xml:space="preserve"> 2023. </w:t>
      </w:r>
      <w:proofErr w:type="spellStart"/>
      <w:r w:rsidRPr="0083665A">
        <w:rPr>
          <w:rFonts w:ascii="Times New Roman" w:hAnsi="Times New Roman"/>
          <w:sz w:val="24"/>
          <w:szCs w:val="24"/>
        </w:rPr>
        <w:t>Số</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liệu</w:t>
      </w:r>
      <w:proofErr w:type="spellEnd"/>
      <w:r w:rsidRPr="0083665A">
        <w:rPr>
          <w:rFonts w:ascii="Times New Roman" w:hAnsi="Times New Roman"/>
          <w:sz w:val="24"/>
          <w:szCs w:val="24"/>
        </w:rPr>
        <w:t xml:space="preserve"> HOSE </w:t>
      </w:r>
      <w:proofErr w:type="spellStart"/>
      <w:r w:rsidRPr="0083665A">
        <w:rPr>
          <w:rFonts w:ascii="Times New Roman" w:hAnsi="Times New Roman"/>
          <w:sz w:val="24"/>
          <w:szCs w:val="24"/>
        </w:rPr>
        <w:t>cho</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thấy</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vốn</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hóa</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thị</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trường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đến</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cuối</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năm</w:t>
      </w:r>
      <w:proofErr w:type="spellEnd"/>
      <w:r w:rsidRPr="0083665A">
        <w:rPr>
          <w:rFonts w:ascii="Times New Roman" w:hAnsi="Times New Roman"/>
          <w:sz w:val="24"/>
          <w:szCs w:val="24"/>
        </w:rPr>
        <w:t xml:space="preserve"> 2023 </w:t>
      </w:r>
      <w:proofErr w:type="spellStart"/>
      <w:r w:rsidRPr="0083665A">
        <w:rPr>
          <w:rFonts w:ascii="Times New Roman" w:hAnsi="Times New Roman"/>
          <w:sz w:val="24"/>
          <w:szCs w:val="24"/>
        </w:rPr>
        <w:t>là</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hơn</w:t>
      </w:r>
      <w:proofErr w:type="spellEnd"/>
      <w:r w:rsidRPr="0083665A">
        <w:rPr>
          <w:rFonts w:ascii="Times New Roman" w:hAnsi="Times New Roman"/>
          <w:sz w:val="24"/>
          <w:szCs w:val="24"/>
        </w:rPr>
        <w:t xml:space="preserve"> 191 </w:t>
      </w:r>
      <w:proofErr w:type="spellStart"/>
      <w:r w:rsidRPr="0083665A">
        <w:rPr>
          <w:rFonts w:ascii="Times New Roman" w:hAnsi="Times New Roman"/>
          <w:sz w:val="24"/>
          <w:szCs w:val="24"/>
        </w:rPr>
        <w:t>tỷ</w:t>
      </w:r>
      <w:proofErr w:type="spellEnd"/>
      <w:r w:rsidRPr="0083665A">
        <w:rPr>
          <w:rFonts w:ascii="Times New Roman" w:hAnsi="Times New Roman"/>
          <w:sz w:val="24"/>
          <w:szCs w:val="24"/>
        </w:rPr>
        <w:t xml:space="preserve"> USD, </w:t>
      </w:r>
      <w:proofErr w:type="spellStart"/>
      <w:r w:rsidRPr="0083665A">
        <w:rPr>
          <w:rFonts w:ascii="Times New Roman" w:hAnsi="Times New Roman"/>
          <w:sz w:val="24"/>
          <w:szCs w:val="24"/>
        </w:rPr>
        <w:t>thay</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đổi</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không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đáng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kể</w:t>
      </w:r>
      <w:proofErr w:type="spellEnd"/>
      <w:r w:rsidRPr="0083665A">
        <w:rPr>
          <w:rFonts w:ascii="Times New Roman" w:hAnsi="Times New Roman"/>
          <w:sz w:val="24"/>
          <w:szCs w:val="24"/>
        </w:rPr>
        <w:t xml:space="preserve"> so </w:t>
      </w:r>
      <w:proofErr w:type="spellStart"/>
      <w:r w:rsidRPr="0083665A">
        <w:rPr>
          <w:rFonts w:ascii="Times New Roman" w:hAnsi="Times New Roman"/>
          <w:sz w:val="24"/>
          <w:szCs w:val="24"/>
        </w:rPr>
        <w:t>với</w:t>
      </w:r>
      <w:proofErr w:type="spellEnd"/>
      <w:r w:rsidRPr="0083665A">
        <w:rPr>
          <w:rFonts w:ascii="Times New Roman" w:hAnsi="Times New Roman"/>
          <w:sz w:val="24"/>
          <w:szCs w:val="24"/>
        </w:rPr>
        <w:t xml:space="preserve"> so </w:t>
      </w:r>
      <w:proofErr w:type="spellStart"/>
      <w:r w:rsidRPr="0083665A">
        <w:rPr>
          <w:rFonts w:ascii="Times New Roman" w:hAnsi="Times New Roman"/>
          <w:sz w:val="24"/>
          <w:szCs w:val="24"/>
        </w:rPr>
        <w:t>cuối</w:t>
      </w:r>
      <w:proofErr w:type="spellEnd"/>
      <w:r w:rsidRPr="0083665A">
        <w:rPr>
          <w:rFonts w:ascii="Times New Roman" w:hAnsi="Times New Roman"/>
          <w:sz w:val="24"/>
          <w:szCs w:val="24"/>
        </w:rPr>
        <w:t xml:space="preserve"> Quý 3. Thanh </w:t>
      </w:r>
      <w:proofErr w:type="spellStart"/>
      <w:r w:rsidRPr="0083665A">
        <w:rPr>
          <w:rFonts w:ascii="Times New Roman" w:hAnsi="Times New Roman"/>
          <w:sz w:val="24"/>
          <w:szCs w:val="24"/>
        </w:rPr>
        <w:t>khoản</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của</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thị</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trường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trong</w:t>
      </w:r>
      <w:proofErr w:type="spellEnd"/>
      <w:r w:rsidRPr="0083665A">
        <w:rPr>
          <w:rFonts w:ascii="Times New Roman" w:hAnsi="Times New Roman"/>
          <w:sz w:val="24"/>
          <w:szCs w:val="24"/>
        </w:rPr>
        <w:t xml:space="preserve"> Quý 4 </w:t>
      </w:r>
      <w:proofErr w:type="spellStart"/>
      <w:r w:rsidRPr="0083665A">
        <w:rPr>
          <w:rFonts w:ascii="Times New Roman" w:hAnsi="Times New Roman"/>
          <w:sz w:val="24"/>
          <w:szCs w:val="24"/>
        </w:rPr>
        <w:t>cũng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suy</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giảm</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khá</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mạnh</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giá</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trị</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giao</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dịch</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bình</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quân</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giảm</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xuống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còn</w:t>
      </w:r>
      <w:proofErr w:type="spellEnd"/>
      <w:r w:rsidRPr="0083665A">
        <w:rPr>
          <w:rFonts w:ascii="Times New Roman" w:hAnsi="Times New Roman"/>
          <w:sz w:val="24"/>
          <w:szCs w:val="24"/>
        </w:rPr>
        <w:t xml:space="preserve"> 15.700 </w:t>
      </w:r>
      <w:proofErr w:type="spellStart"/>
      <w:r w:rsidRPr="0083665A">
        <w:rPr>
          <w:rFonts w:ascii="Times New Roman" w:hAnsi="Times New Roman"/>
          <w:sz w:val="24"/>
          <w:szCs w:val="24"/>
        </w:rPr>
        <w:t>tỷ</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đồng</w:t>
      </w:r>
      <w:proofErr w:type="spellEnd"/>
      <w:r w:rsidRPr="0083665A">
        <w:rPr>
          <w:rFonts w:ascii="Times New Roman" w:hAnsi="Times New Roman"/>
          <w:sz w:val="24"/>
          <w:szCs w:val="24"/>
        </w:rPr>
        <w:t>/</w:t>
      </w:r>
      <w:proofErr w:type="spellStart"/>
      <w:r w:rsidRPr="0083665A">
        <w:rPr>
          <w:rFonts w:ascii="Times New Roman" w:hAnsi="Times New Roman"/>
          <w:sz w:val="24"/>
          <w:szCs w:val="24"/>
        </w:rPr>
        <w:t>phiên</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từ</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mức</w:t>
      </w:r>
      <w:proofErr w:type="spellEnd"/>
      <w:r w:rsidRPr="0083665A">
        <w:rPr>
          <w:rFonts w:ascii="Times New Roman" w:hAnsi="Times New Roman"/>
          <w:sz w:val="24"/>
          <w:szCs w:val="24"/>
        </w:rPr>
        <w:t xml:space="preserve"> 21.300 </w:t>
      </w:r>
      <w:proofErr w:type="spellStart"/>
      <w:r w:rsidRPr="0083665A">
        <w:rPr>
          <w:rFonts w:ascii="Times New Roman" w:hAnsi="Times New Roman"/>
          <w:sz w:val="24"/>
          <w:szCs w:val="24"/>
        </w:rPr>
        <w:t>tỷ</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đồng</w:t>
      </w:r>
      <w:proofErr w:type="spellEnd"/>
      <w:r w:rsidRPr="0083665A">
        <w:rPr>
          <w:rFonts w:ascii="Times New Roman" w:hAnsi="Times New Roman"/>
          <w:sz w:val="24"/>
          <w:szCs w:val="24"/>
        </w:rPr>
        <w:t>/</w:t>
      </w:r>
      <w:proofErr w:type="spellStart"/>
      <w:r w:rsidRPr="0083665A">
        <w:rPr>
          <w:rFonts w:ascii="Times New Roman" w:hAnsi="Times New Roman"/>
          <w:sz w:val="24"/>
          <w:szCs w:val="24"/>
        </w:rPr>
        <w:t>phiên</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trong</w:t>
      </w:r>
      <w:proofErr w:type="spellEnd"/>
      <w:r w:rsidRPr="0083665A">
        <w:rPr>
          <w:rFonts w:ascii="Times New Roman" w:hAnsi="Times New Roman"/>
          <w:sz w:val="24"/>
          <w:szCs w:val="24"/>
        </w:rPr>
        <w:t xml:space="preserve"> Quý 3 </w:t>
      </w:r>
      <w:proofErr w:type="spellStart"/>
      <w:r w:rsidRPr="0083665A">
        <w:rPr>
          <w:rFonts w:ascii="Times New Roman" w:hAnsi="Times New Roman"/>
          <w:sz w:val="24"/>
          <w:szCs w:val="24"/>
        </w:rPr>
        <w:t>năm</w:t>
      </w:r>
      <w:proofErr w:type="spellEnd"/>
      <w:r w:rsidRPr="0083665A">
        <w:rPr>
          <w:rFonts w:ascii="Times New Roman" w:hAnsi="Times New Roman"/>
          <w:sz w:val="24"/>
          <w:szCs w:val="24"/>
        </w:rPr>
        <w:t xml:space="preserve"> 2023, </w:t>
      </w:r>
      <w:proofErr w:type="spellStart"/>
      <w:r w:rsidRPr="0083665A">
        <w:rPr>
          <w:rFonts w:ascii="Times New Roman" w:hAnsi="Times New Roman"/>
          <w:sz w:val="24"/>
          <w:szCs w:val="24"/>
        </w:rPr>
        <w:t>giảm</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hơn</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gần</w:t>
      </w:r>
      <w:proofErr w:type="spellEnd"/>
      <w:r w:rsidRPr="0083665A">
        <w:rPr>
          <w:rFonts w:ascii="Times New Roman" w:hAnsi="Times New Roman"/>
          <w:sz w:val="24"/>
          <w:szCs w:val="24"/>
        </w:rPr>
        <w:t xml:space="preserve"> 26%.</w:t>
      </w:r>
      <w:r w:rsidRPr="00463E77">
        <w:rPr>
          <w:rFonts w:ascii="Times New Roman" w:hAnsi="Times New Roman"/>
          <w:sz w:val="24"/>
          <w:szCs w:val="24"/>
        </w:rPr>
        <w:t xml:space="preserve"> </w:t>
      </w:r>
      <w:r w:rsidRPr="00463E77">
        <w:rPr>
          <w:rFonts w:ascii="Times New Roman" w:hAnsi="Times New Roman"/>
          <w:color w:val="FF0000"/>
          <w:sz w:val="24"/>
          <w:szCs w:val="24"/>
        </w:rPr>
        <w:t xml:space="preserve"> </w:t>
      </w:r>
    </w:p>
    <w:p w14:paraId="3F358054" w14:textId="77777777" w:rsidR="006F7C5E" w:rsidRPr="00463E77" w:rsidRDefault="006F7C5E" w:rsidP="006F7C5E">
      <w:pPr>
        <w:shd w:val="clear" w:color="auto" w:fill="FFFFFF"/>
        <w:tabs>
          <w:tab w:val="left" w:pos="540"/>
        </w:tabs>
        <w:spacing w:before="120" w:after="0" w:line="240" w:lineRule="auto"/>
        <w:jc w:val="both"/>
        <w:rPr>
          <w:rFonts w:ascii="Times New Roman" w:hAnsi="Times New Roman"/>
          <w:color w:val="000000" w:themeColor="text1"/>
          <w:sz w:val="24"/>
          <w:szCs w:val="24"/>
        </w:rPr>
      </w:pPr>
      <w:r w:rsidRPr="00463E77">
        <w:rPr>
          <w:rFonts w:ascii="Times New Roman" w:hAnsi="Times New Roman"/>
          <w:color w:val="000000" w:themeColor="text1"/>
          <w:sz w:val="24"/>
          <w:szCs w:val="24"/>
        </w:rPr>
        <w:t xml:space="preserve">Tuy </w:t>
      </w:r>
      <w:proofErr w:type="spellStart"/>
      <w:r w:rsidRPr="00463E77">
        <w:rPr>
          <w:rFonts w:ascii="Times New Roman" w:hAnsi="Times New Roman"/>
          <w:color w:val="000000" w:themeColor="text1"/>
          <w:sz w:val="24"/>
          <w:szCs w:val="24"/>
        </w:rPr>
        <w:t>nhiên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trong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dài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hạn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dự</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kiến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thị</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trường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vẫn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có</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nhiều</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động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lực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tăng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trưởng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mới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như</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hiệu</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quả</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kinh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doanh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của</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doanh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nghiệp</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có</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thể</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được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cải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thiện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chính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sách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kích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cầu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giảm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gánh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nặng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thuế</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phí</w:t>
      </w:r>
      <w:proofErr w:type="spellEnd"/>
      <w:r>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đã</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được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Chính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phủ</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triển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khai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trong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năm</w:t>
      </w:r>
      <w:proofErr w:type="spellEnd"/>
      <w:r w:rsidRPr="00463E77">
        <w:rPr>
          <w:rFonts w:ascii="Times New Roman" w:hAnsi="Times New Roman"/>
          <w:color w:val="000000" w:themeColor="text1"/>
          <w:sz w:val="24"/>
          <w:szCs w:val="24"/>
        </w:rPr>
        <w:t xml:space="preserve"> 2023</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và</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tiếp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tục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kéo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dài</w:t>
      </w:r>
      <w:proofErr w:type="spellEnd"/>
      <w:r>
        <w:rPr>
          <w:rFonts w:ascii="Times New Roman" w:hAnsi="Times New Roman"/>
          <w:color w:val="000000" w:themeColor="text1"/>
          <w:sz w:val="24"/>
          <w:szCs w:val="24"/>
        </w:rPr>
        <w:t xml:space="preserve"> sang </w:t>
      </w:r>
      <w:proofErr w:type="spellStart"/>
      <w:r>
        <w:rPr>
          <w:rFonts w:ascii="Times New Roman" w:hAnsi="Times New Roman"/>
          <w:color w:val="000000" w:themeColor="text1"/>
          <w:sz w:val="24"/>
          <w:szCs w:val="24"/>
        </w:rPr>
        <w:t>năm</w:t>
      </w:r>
      <w:proofErr w:type="spellEnd"/>
      <w:r>
        <w:rPr>
          <w:rFonts w:ascii="Times New Roman" w:hAnsi="Times New Roman"/>
          <w:color w:val="000000" w:themeColor="text1"/>
          <w:sz w:val="24"/>
          <w:szCs w:val="24"/>
        </w:rPr>
        <w:t xml:space="preserve"> 2024</w:t>
      </w:r>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Chính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sách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tiền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tệ</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được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nới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lỏng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nhằm</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hỗ</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trợ</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thanh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khoản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mặt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bằng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lãi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suất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cho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vay</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xuống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khá</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thấp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tạo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thuận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lợi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cho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đầu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và</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kinh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doanh</w:t>
      </w:r>
      <w:proofErr w:type="spellEnd"/>
      <w:r w:rsidRPr="00463E77">
        <w:rPr>
          <w:rFonts w:ascii="Times New Roman" w:hAnsi="Times New Roman"/>
          <w:color w:val="000000" w:themeColor="text1"/>
          <w:sz w:val="24"/>
          <w:szCs w:val="24"/>
        </w:rPr>
        <w:t xml:space="preserve">. Các </w:t>
      </w:r>
      <w:proofErr w:type="spellStart"/>
      <w:r w:rsidRPr="00463E77">
        <w:rPr>
          <w:rFonts w:ascii="Times New Roman" w:hAnsi="Times New Roman"/>
          <w:color w:val="000000" w:themeColor="text1"/>
          <w:sz w:val="24"/>
          <w:szCs w:val="24"/>
        </w:rPr>
        <w:t>giải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pháp</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làm</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minh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bạch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hóa</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thị</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trường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nhằm</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hướng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đến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việc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nâng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hạng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thị</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trường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chứng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khoán</w:t>
      </w:r>
      <w:proofErr w:type="spellEnd"/>
      <w:r w:rsidRPr="00463E77">
        <w:rPr>
          <w:rFonts w:ascii="Times New Roman" w:hAnsi="Times New Roman"/>
          <w:color w:val="000000" w:themeColor="text1"/>
          <w:sz w:val="24"/>
          <w:szCs w:val="24"/>
        </w:rPr>
        <w:t xml:space="preserve"> Việt Nam </w:t>
      </w:r>
      <w:proofErr w:type="spellStart"/>
      <w:r w:rsidRPr="00463E77">
        <w:rPr>
          <w:rFonts w:ascii="Times New Roman" w:hAnsi="Times New Roman"/>
          <w:color w:val="000000" w:themeColor="text1"/>
          <w:sz w:val="24"/>
          <w:szCs w:val="24"/>
        </w:rPr>
        <w:t>trong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vài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năm</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tới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bắt</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đầu</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được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kỳ</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vọng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và</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thực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thi</w:t>
      </w:r>
      <w:proofErr w:type="spellEnd"/>
      <w:r w:rsidRPr="00463E77">
        <w:rPr>
          <w:rFonts w:ascii="Times New Roman" w:hAnsi="Times New Roman"/>
          <w:color w:val="000000" w:themeColor="text1"/>
          <w:sz w:val="24"/>
          <w:szCs w:val="24"/>
        </w:rPr>
        <w:t xml:space="preserve">. Tuy </w:t>
      </w:r>
      <w:proofErr w:type="spellStart"/>
      <w:r w:rsidRPr="00463E77">
        <w:rPr>
          <w:rFonts w:ascii="Times New Roman" w:hAnsi="Times New Roman"/>
          <w:color w:val="000000" w:themeColor="text1"/>
          <w:sz w:val="24"/>
          <w:szCs w:val="24"/>
        </w:rPr>
        <w:t>nhiên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nhiều</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khó</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khăn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trước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mắt</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vẫn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còn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đó</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như</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thiếu</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hụt</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đơn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hàng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xuất</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khẩu</w:t>
      </w:r>
      <w:proofErr w:type="spellEnd"/>
      <w:r w:rsidRPr="00463E77">
        <w:rPr>
          <w:rFonts w:ascii="Times New Roman" w:hAnsi="Times New Roman"/>
          <w:color w:val="000000" w:themeColor="text1"/>
          <w:sz w:val="24"/>
          <w:szCs w:val="24"/>
        </w:rPr>
        <w:t xml:space="preserve"> do </w:t>
      </w:r>
      <w:proofErr w:type="spellStart"/>
      <w:r w:rsidRPr="00463E77">
        <w:rPr>
          <w:rFonts w:ascii="Times New Roman" w:hAnsi="Times New Roman"/>
          <w:color w:val="000000" w:themeColor="text1"/>
          <w:sz w:val="24"/>
          <w:szCs w:val="24"/>
        </w:rPr>
        <w:t>nhu</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cầu</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thế</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giới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giảm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hoặc</w:t>
      </w:r>
      <w:proofErr w:type="spellEnd"/>
      <w:r>
        <w:rPr>
          <w:rFonts w:ascii="Times New Roman" w:hAnsi="Times New Roman"/>
          <w:color w:val="000000" w:themeColor="text1"/>
          <w:sz w:val="24"/>
          <w:szCs w:val="24"/>
        </w:rPr>
        <w:t xml:space="preserve"> do </w:t>
      </w:r>
      <w:proofErr w:type="spellStart"/>
      <w:r>
        <w:rPr>
          <w:rFonts w:ascii="Times New Roman" w:hAnsi="Times New Roman"/>
          <w:color w:val="000000" w:themeColor="text1"/>
          <w:sz w:val="24"/>
          <w:szCs w:val="24"/>
        </w:rPr>
        <w:t>có</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sự</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thay</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đổi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phân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bổ</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lại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giữa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các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vực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khả</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năng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tiếp</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cận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vốn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tín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dụng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của</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doanh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nghiệp</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bị</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hạn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chế</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khi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các</w:t>
      </w:r>
      <w:proofErr w:type="spellEnd"/>
      <w:r w:rsidRPr="00463E77">
        <w:rPr>
          <w:rFonts w:ascii="Times New Roman" w:hAnsi="Times New Roman"/>
          <w:color w:val="000000" w:themeColor="text1"/>
          <w:sz w:val="24"/>
          <w:szCs w:val="24"/>
        </w:rPr>
        <w:t xml:space="preserve"> Ngân </w:t>
      </w:r>
      <w:proofErr w:type="spellStart"/>
      <w:r w:rsidRPr="00463E77">
        <w:rPr>
          <w:rFonts w:ascii="Times New Roman" w:hAnsi="Times New Roman"/>
          <w:color w:val="000000" w:themeColor="text1"/>
          <w:sz w:val="24"/>
          <w:szCs w:val="24"/>
        </w:rPr>
        <w:t>hàng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đã</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siết</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chặt</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các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điều</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kiện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cho</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vay</w:t>
      </w:r>
      <w:proofErr w:type="spellEnd"/>
      <w:r w:rsidRPr="00463E77">
        <w:rPr>
          <w:rFonts w:ascii="Times New Roman" w:hAnsi="Times New Roman"/>
          <w:color w:val="000000" w:themeColor="text1"/>
          <w:sz w:val="24"/>
          <w:szCs w:val="24"/>
        </w:rPr>
        <w:t xml:space="preserve">. </w:t>
      </w:r>
    </w:p>
    <w:p w14:paraId="0288F8D3" w14:textId="77777777" w:rsidR="006F7C5E" w:rsidRPr="00463E77" w:rsidRDefault="006F7C5E" w:rsidP="006F7C5E">
      <w:pPr>
        <w:shd w:val="clear" w:color="auto" w:fill="FFFFFF"/>
        <w:tabs>
          <w:tab w:val="left" w:pos="540"/>
        </w:tabs>
        <w:spacing w:before="120" w:after="0" w:line="240" w:lineRule="auto"/>
        <w:jc w:val="both"/>
        <w:rPr>
          <w:rFonts w:ascii="Times New Roman" w:hAnsi="Times New Roman"/>
          <w:sz w:val="24"/>
          <w:szCs w:val="24"/>
        </w:rPr>
      </w:pPr>
      <w:r w:rsidRPr="00463E77">
        <w:rPr>
          <w:rFonts w:ascii="Times New Roman" w:hAnsi="Times New Roman"/>
          <w:sz w:val="24"/>
          <w:szCs w:val="24"/>
        </w:rPr>
        <w:lastRenderedPageBreak/>
        <w:t xml:space="preserve">Trong </w:t>
      </w:r>
      <w:proofErr w:type="spellStart"/>
      <w:r w:rsidRPr="00463E77">
        <w:rPr>
          <w:rFonts w:ascii="Times New Roman" w:hAnsi="Times New Roman"/>
          <w:sz w:val="24"/>
          <w:szCs w:val="24"/>
        </w:rPr>
        <w:t>thực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luôn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có</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những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sự</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kiện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xảy</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ra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và</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ảnh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hưởng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tiêu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cực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lên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thị</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trường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chứng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khoán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tuy</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nhiên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mức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độ</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ảnh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hưởng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của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các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biến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cố</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thường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mang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tính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chất</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ngắn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hạn</w:t>
      </w:r>
      <w:proofErr w:type="spellEnd"/>
      <w:r w:rsidRPr="00463E77">
        <w:rPr>
          <w:rFonts w:ascii="Times New Roman" w:hAnsi="Times New Roman"/>
          <w:sz w:val="24"/>
          <w:szCs w:val="24"/>
        </w:rPr>
        <w:t xml:space="preserve"> so </w:t>
      </w:r>
      <w:proofErr w:type="spellStart"/>
      <w:r w:rsidRPr="00463E77">
        <w:rPr>
          <w:rFonts w:ascii="Times New Roman" w:hAnsi="Times New Roman"/>
          <w:sz w:val="24"/>
          <w:szCs w:val="24"/>
        </w:rPr>
        <w:t>với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cả</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quá</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trình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phát</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triển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bền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vững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lâu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dài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của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nền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và</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thị</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trường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chứng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khoán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Những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bất</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ổn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vĩ</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mô</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của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nền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hoặc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các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sự</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kiện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tiêu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cực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sẽ</w:t>
      </w:r>
      <w:proofErr w:type="spellEnd"/>
      <w:r w:rsidRPr="00463E77">
        <w:rPr>
          <w:rFonts w:ascii="Times New Roman" w:hAnsi="Times New Roman"/>
          <w:sz w:val="24"/>
          <w:szCs w:val="24"/>
        </w:rPr>
        <w:t xml:space="preserve"> qua </w:t>
      </w:r>
      <w:proofErr w:type="spellStart"/>
      <w:r w:rsidRPr="00463E77">
        <w:rPr>
          <w:rFonts w:ascii="Times New Roman" w:hAnsi="Times New Roman"/>
          <w:sz w:val="24"/>
          <w:szCs w:val="24"/>
        </w:rPr>
        <w:t>đi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và</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dần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được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điều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chỉnh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để</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giúp</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nền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phục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hồi</w:t>
      </w:r>
      <w:proofErr w:type="spellEnd"/>
      <w:r w:rsidRPr="00463E77">
        <w:rPr>
          <w:rFonts w:ascii="Times New Roman" w:hAnsi="Times New Roman"/>
          <w:sz w:val="24"/>
          <w:szCs w:val="24"/>
        </w:rPr>
        <w:t xml:space="preserve">. Việt Nam </w:t>
      </w:r>
      <w:proofErr w:type="spellStart"/>
      <w:r w:rsidRPr="00463E77">
        <w:rPr>
          <w:rFonts w:ascii="Times New Roman" w:hAnsi="Times New Roman"/>
          <w:sz w:val="24"/>
          <w:szCs w:val="24"/>
        </w:rPr>
        <w:t>đã</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có</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nhiều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nghiệm</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trong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việc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điều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hành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nền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vượt</w:t>
      </w:r>
      <w:proofErr w:type="spellEnd"/>
      <w:r w:rsidRPr="00463E77">
        <w:rPr>
          <w:rFonts w:ascii="Times New Roman" w:hAnsi="Times New Roman"/>
          <w:sz w:val="24"/>
          <w:szCs w:val="24"/>
        </w:rPr>
        <w:t xml:space="preserve"> qua </w:t>
      </w:r>
      <w:proofErr w:type="spellStart"/>
      <w:r w:rsidRPr="00463E77">
        <w:rPr>
          <w:rFonts w:ascii="Times New Roman" w:hAnsi="Times New Roman"/>
          <w:sz w:val="24"/>
          <w:szCs w:val="24"/>
        </w:rPr>
        <w:t>các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giai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đoạn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khó</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khăn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Vì</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vậy</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chúng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tôi</w:t>
      </w:r>
      <w:proofErr w:type="spellEnd"/>
      <w:r w:rsidRPr="00463E77">
        <w:rPr>
          <w:rFonts w:ascii="Times New Roman" w:hAnsi="Times New Roman"/>
          <w:sz w:val="24"/>
          <w:szCs w:val="24"/>
        </w:rPr>
        <w:t xml:space="preserve"> tin </w:t>
      </w:r>
      <w:proofErr w:type="spellStart"/>
      <w:r w:rsidRPr="00463E77">
        <w:rPr>
          <w:rFonts w:ascii="Times New Roman" w:hAnsi="Times New Roman"/>
          <w:sz w:val="24"/>
          <w:szCs w:val="24"/>
        </w:rPr>
        <w:t>rằng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với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nhiều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giải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pháp</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hợp</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lý</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trong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điều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hành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vĩ</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mô</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thời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gian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gần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đây</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cũng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như</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nỗ</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lực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đẩy</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lùi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các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hoạt</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động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đầu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cơ</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lũng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đoạn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thị</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trường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giữ</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lạm</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phát</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và</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tỷ</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giá</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ổn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định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hỗ</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trợ</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thanh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khoản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cho</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hệ</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thống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ngân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hàng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vv</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sẽ</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giúp</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thị</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trường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chứng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khoán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dần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phục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hồi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niềm</w:t>
      </w:r>
      <w:proofErr w:type="spellEnd"/>
      <w:r w:rsidRPr="00463E77">
        <w:rPr>
          <w:rFonts w:ascii="Times New Roman" w:hAnsi="Times New Roman"/>
          <w:sz w:val="24"/>
          <w:szCs w:val="24"/>
        </w:rPr>
        <w:t xml:space="preserve"> tin </w:t>
      </w:r>
      <w:proofErr w:type="spellStart"/>
      <w:r w:rsidRPr="00463E77">
        <w:rPr>
          <w:rFonts w:ascii="Times New Roman" w:hAnsi="Times New Roman"/>
          <w:sz w:val="24"/>
          <w:szCs w:val="24"/>
        </w:rPr>
        <w:t>của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nhà</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đầu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tư</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trở</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lại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cùng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với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triển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vọng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tích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cực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hơn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thì</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thị</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trường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chứng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khoán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sẽ</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tiếp</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tục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phục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hồi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và</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tăng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trưởng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trong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dài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hạn</w:t>
      </w:r>
      <w:proofErr w:type="spellEnd"/>
      <w:r w:rsidRPr="00463E77">
        <w:rPr>
          <w:rFonts w:ascii="Times New Roman" w:hAnsi="Times New Roman"/>
          <w:sz w:val="24"/>
          <w:szCs w:val="24"/>
        </w:rPr>
        <w:t xml:space="preserve">. Các </w:t>
      </w:r>
      <w:proofErr w:type="spellStart"/>
      <w:r w:rsidRPr="00463E77">
        <w:rPr>
          <w:rFonts w:ascii="Times New Roman" w:hAnsi="Times New Roman"/>
          <w:sz w:val="24"/>
          <w:szCs w:val="24"/>
        </w:rPr>
        <w:t>tổ</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chức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quốc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đều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đồng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thuận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cho</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rằng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nền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Việt Nam </w:t>
      </w:r>
      <w:proofErr w:type="spellStart"/>
      <w:r w:rsidRPr="00463E77">
        <w:rPr>
          <w:rFonts w:ascii="Times New Roman" w:hAnsi="Times New Roman"/>
          <w:sz w:val="24"/>
          <w:szCs w:val="24"/>
        </w:rPr>
        <w:t>là</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điểm</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sáng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hiếm</w:t>
      </w:r>
      <w:proofErr w:type="spellEnd"/>
      <w:r w:rsidRPr="00463E77">
        <w:rPr>
          <w:rFonts w:ascii="Times New Roman" w:hAnsi="Times New Roman"/>
          <w:sz w:val="24"/>
          <w:szCs w:val="24"/>
        </w:rPr>
        <w:t xml:space="preserve"> hoi </w:t>
      </w:r>
      <w:proofErr w:type="spellStart"/>
      <w:r w:rsidRPr="00463E77">
        <w:rPr>
          <w:rFonts w:ascii="Times New Roman" w:hAnsi="Times New Roman"/>
          <w:sz w:val="24"/>
          <w:szCs w:val="24"/>
        </w:rPr>
        <w:t>trong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bối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cảnh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suy</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thoái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toàn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cầu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Nền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Việt Nam </w:t>
      </w:r>
      <w:proofErr w:type="spellStart"/>
      <w:r w:rsidRPr="00463E77">
        <w:rPr>
          <w:rFonts w:ascii="Times New Roman" w:hAnsi="Times New Roman"/>
          <w:sz w:val="24"/>
          <w:szCs w:val="24"/>
        </w:rPr>
        <w:t>dự</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báo</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sẽ</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hồi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phục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dần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và</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tăng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trưởng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ổn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định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trong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các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năm</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tiếp</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theo.</w:t>
      </w:r>
      <w:proofErr w:type="spellEnd"/>
      <w:r w:rsidRPr="00463E77">
        <w:rPr>
          <w:rFonts w:ascii="Times New Roman" w:hAnsi="Times New Roman"/>
          <w:sz w:val="24"/>
          <w:szCs w:val="24"/>
        </w:rPr>
        <w:t xml:space="preserve"> Trong </w:t>
      </w:r>
      <w:proofErr w:type="spellStart"/>
      <w:r w:rsidRPr="00463E77">
        <w:rPr>
          <w:rFonts w:ascii="Times New Roman" w:hAnsi="Times New Roman"/>
          <w:sz w:val="24"/>
          <w:szCs w:val="24"/>
        </w:rPr>
        <w:t>trung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dài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hạn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thị</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trường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Chứng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khoán</w:t>
      </w:r>
      <w:proofErr w:type="spellEnd"/>
      <w:r w:rsidRPr="00463E77">
        <w:rPr>
          <w:rFonts w:ascii="Times New Roman" w:hAnsi="Times New Roman"/>
          <w:sz w:val="24"/>
          <w:szCs w:val="24"/>
        </w:rPr>
        <w:t xml:space="preserve"> Việt Nam </w:t>
      </w:r>
      <w:proofErr w:type="spellStart"/>
      <w:r w:rsidRPr="00463E77">
        <w:rPr>
          <w:rFonts w:ascii="Times New Roman" w:hAnsi="Times New Roman"/>
          <w:sz w:val="24"/>
          <w:szCs w:val="24"/>
        </w:rPr>
        <w:t>vẫn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sẽ</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nhiều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tiềm</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năng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phát</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triển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khi</w:t>
      </w:r>
      <w:proofErr w:type="spellEnd"/>
      <w:r w:rsidRPr="00463E77">
        <w:rPr>
          <w:rFonts w:ascii="Times New Roman" w:hAnsi="Times New Roman"/>
          <w:sz w:val="24"/>
          <w:szCs w:val="24"/>
        </w:rPr>
        <w:t>:</w:t>
      </w:r>
    </w:p>
    <w:p w14:paraId="5BBE761E" w14:textId="77777777" w:rsidR="006F7C5E" w:rsidRPr="00463E77" w:rsidRDefault="006F7C5E" w:rsidP="006F7C5E">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rPr>
      </w:pPr>
      <w:proofErr w:type="spellStart"/>
      <w:r w:rsidRPr="00463E77">
        <w:rPr>
          <w:rFonts w:ascii="Times New Roman" w:hAnsi="Times New Roman"/>
          <w:sz w:val="24"/>
          <w:szCs w:val="24"/>
        </w:rPr>
        <w:t>Với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môi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trường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vĩ</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mô</w:t>
      </w:r>
      <w:proofErr w:type="spellEnd"/>
      <w:r w:rsidRPr="00463E77">
        <w:rPr>
          <w:rFonts w:ascii="Times New Roman" w:hAnsi="Times New Roman"/>
          <w:sz w:val="24"/>
          <w:szCs w:val="24"/>
        </w:rPr>
        <w:t xml:space="preserve">: Việt Nam </w:t>
      </w:r>
      <w:proofErr w:type="spellStart"/>
      <w:r w:rsidRPr="00463E77">
        <w:rPr>
          <w:rFonts w:ascii="Times New Roman" w:hAnsi="Times New Roman"/>
          <w:sz w:val="24"/>
          <w:szCs w:val="24"/>
        </w:rPr>
        <w:t>được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đánh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giá</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phát</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triển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ổn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định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thể</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hiện</w:t>
      </w:r>
      <w:proofErr w:type="spellEnd"/>
      <w:r w:rsidRPr="00463E77">
        <w:rPr>
          <w:rFonts w:ascii="Times New Roman" w:hAnsi="Times New Roman"/>
          <w:sz w:val="24"/>
          <w:szCs w:val="24"/>
        </w:rPr>
        <w:t xml:space="preserve"> qua </w:t>
      </w:r>
      <w:proofErr w:type="spellStart"/>
      <w:r w:rsidRPr="00463E77">
        <w:rPr>
          <w:rFonts w:ascii="Times New Roman" w:hAnsi="Times New Roman"/>
          <w:sz w:val="24"/>
          <w:szCs w:val="24"/>
        </w:rPr>
        <w:t>các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tiêu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chí</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như</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tăng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trưởng</w:t>
      </w:r>
      <w:proofErr w:type="spellEnd"/>
      <w:r w:rsidRPr="00463E77">
        <w:rPr>
          <w:rFonts w:ascii="Times New Roman" w:hAnsi="Times New Roman"/>
          <w:sz w:val="24"/>
          <w:szCs w:val="24"/>
        </w:rPr>
        <w:t xml:space="preserve"> GDP </w:t>
      </w:r>
      <w:proofErr w:type="spellStart"/>
      <w:r w:rsidRPr="00463E77">
        <w:rPr>
          <w:rFonts w:ascii="Times New Roman" w:hAnsi="Times New Roman"/>
          <w:sz w:val="24"/>
          <w:szCs w:val="24"/>
        </w:rPr>
        <w:t>cao</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lạm</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phát</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được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kiểm</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soát</w:t>
      </w:r>
      <w:proofErr w:type="spellEnd"/>
      <w:r w:rsidRPr="00463E77">
        <w:rPr>
          <w:rFonts w:ascii="Times New Roman" w:hAnsi="Times New Roman"/>
          <w:sz w:val="24"/>
          <w:szCs w:val="24"/>
        </w:rPr>
        <w:t xml:space="preserve"> ở </w:t>
      </w:r>
      <w:proofErr w:type="spellStart"/>
      <w:r w:rsidRPr="00463E77">
        <w:rPr>
          <w:rFonts w:ascii="Times New Roman" w:hAnsi="Times New Roman"/>
          <w:sz w:val="24"/>
          <w:szCs w:val="24"/>
        </w:rPr>
        <w:t>mức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vừa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phải</w:t>
      </w:r>
      <w:proofErr w:type="spellEnd"/>
      <w:r w:rsidRPr="00463E77">
        <w:rPr>
          <w:rFonts w:ascii="Times New Roman" w:hAnsi="Times New Roman"/>
          <w:sz w:val="24"/>
          <w:szCs w:val="24"/>
        </w:rPr>
        <w:t xml:space="preserve"> so </w:t>
      </w:r>
      <w:proofErr w:type="spellStart"/>
      <w:r w:rsidRPr="00463E77">
        <w:rPr>
          <w:rFonts w:ascii="Times New Roman" w:hAnsi="Times New Roman"/>
          <w:sz w:val="24"/>
          <w:szCs w:val="24"/>
        </w:rPr>
        <w:t>với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các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quốc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khác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tỷ</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giá</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giao</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động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trong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biên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độ</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không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quá</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lớn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dù</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có</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vài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thời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điểm</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và</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sự</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kiện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đặc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biệt</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làm</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tỷ</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giá</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biến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động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mạnh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nhưng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chỉ</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trong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thời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gian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khá</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ngắn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tình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hình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hút</w:t>
      </w:r>
      <w:proofErr w:type="spellEnd"/>
      <w:r w:rsidRPr="00463E77">
        <w:rPr>
          <w:rFonts w:ascii="Times New Roman" w:hAnsi="Times New Roman"/>
          <w:sz w:val="24"/>
          <w:szCs w:val="24"/>
        </w:rPr>
        <w:t xml:space="preserve"> FDI </w:t>
      </w:r>
      <w:proofErr w:type="spellStart"/>
      <w:r w:rsidRPr="00463E77">
        <w:rPr>
          <w:rFonts w:ascii="Times New Roman" w:hAnsi="Times New Roman"/>
          <w:sz w:val="24"/>
          <w:szCs w:val="24"/>
        </w:rPr>
        <w:t>vẫn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được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duy</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trì</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chưa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có</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dấu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hiệu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tiêu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cực</w:t>
      </w:r>
      <w:proofErr w:type="spellEnd"/>
      <w:r w:rsidRPr="00463E77">
        <w:rPr>
          <w:rFonts w:ascii="Times New Roman" w:hAnsi="Times New Roman"/>
          <w:sz w:val="24"/>
          <w:szCs w:val="24"/>
        </w:rPr>
        <w:t xml:space="preserve">,... Như </w:t>
      </w:r>
      <w:proofErr w:type="spellStart"/>
      <w:r w:rsidRPr="00463E77">
        <w:rPr>
          <w:rFonts w:ascii="Times New Roman" w:hAnsi="Times New Roman"/>
          <w:sz w:val="24"/>
          <w:szCs w:val="24"/>
        </w:rPr>
        <w:t>vậy</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nền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Việt Nam </w:t>
      </w:r>
      <w:proofErr w:type="spellStart"/>
      <w:r w:rsidRPr="00463E77">
        <w:rPr>
          <w:rFonts w:ascii="Times New Roman" w:hAnsi="Times New Roman"/>
          <w:sz w:val="24"/>
          <w:szCs w:val="24"/>
        </w:rPr>
        <w:t>đang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tiếp</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tục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bước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trên</w:t>
      </w:r>
      <w:proofErr w:type="spellEnd"/>
      <w:r w:rsidRPr="00463E77">
        <w:rPr>
          <w:rFonts w:ascii="Times New Roman" w:hAnsi="Times New Roman"/>
          <w:sz w:val="24"/>
          <w:szCs w:val="24"/>
        </w:rPr>
        <w:t xml:space="preserve"> chu </w:t>
      </w:r>
      <w:proofErr w:type="spellStart"/>
      <w:r w:rsidRPr="00463E77">
        <w:rPr>
          <w:rFonts w:ascii="Times New Roman" w:hAnsi="Times New Roman"/>
          <w:sz w:val="24"/>
          <w:szCs w:val="24"/>
        </w:rPr>
        <w:t>kỳ</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lên</w:t>
      </w:r>
      <w:proofErr w:type="spellEnd"/>
      <w:r w:rsidRPr="00463E77">
        <w:rPr>
          <w:rFonts w:ascii="Times New Roman" w:hAnsi="Times New Roman"/>
          <w:sz w:val="24"/>
          <w:szCs w:val="24"/>
        </w:rPr>
        <w:t>.</w:t>
      </w:r>
    </w:p>
    <w:p w14:paraId="34C630F9" w14:textId="77777777" w:rsidR="006F7C5E" w:rsidRPr="0001310B" w:rsidRDefault="006F7C5E" w:rsidP="006F7C5E">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rPr>
      </w:pPr>
      <w:proofErr w:type="spellStart"/>
      <w:r w:rsidRPr="0001310B">
        <w:rPr>
          <w:rFonts w:ascii="Times New Roman" w:hAnsi="Times New Roman"/>
          <w:sz w:val="24"/>
          <w:szCs w:val="24"/>
        </w:rPr>
        <w:t>Về</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đánh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giá</w:t>
      </w:r>
      <w:proofErr w:type="spellEnd"/>
      <w:r w:rsidRPr="0001310B">
        <w:rPr>
          <w:rFonts w:ascii="Times New Roman" w:hAnsi="Times New Roman"/>
          <w:sz w:val="24"/>
          <w:szCs w:val="24"/>
        </w:rPr>
        <w:t xml:space="preserve"> Thị </w:t>
      </w:r>
      <w:proofErr w:type="spellStart"/>
      <w:r w:rsidRPr="0001310B">
        <w:rPr>
          <w:rFonts w:ascii="Times New Roman" w:hAnsi="Times New Roman"/>
          <w:sz w:val="24"/>
          <w:szCs w:val="24"/>
        </w:rPr>
        <w:t>trường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Chứng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khoán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định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giá</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hợp</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lý</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mức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sinh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lời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hấp</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dẫn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hơn</w:t>
      </w:r>
      <w:proofErr w:type="spellEnd"/>
      <w:r w:rsidRPr="0001310B">
        <w:rPr>
          <w:rFonts w:ascii="Times New Roman" w:hAnsi="Times New Roman"/>
          <w:sz w:val="24"/>
          <w:szCs w:val="24"/>
        </w:rPr>
        <w:t xml:space="preserve"> so </w:t>
      </w:r>
      <w:proofErr w:type="spellStart"/>
      <w:r w:rsidRPr="0001310B">
        <w:rPr>
          <w:rFonts w:ascii="Times New Roman" w:hAnsi="Times New Roman"/>
          <w:sz w:val="24"/>
          <w:szCs w:val="24"/>
        </w:rPr>
        <w:t>với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thị</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trường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trong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vực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chỉ</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số</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giá</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trên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nhập</w:t>
      </w:r>
      <w:proofErr w:type="spellEnd"/>
      <w:r w:rsidRPr="0001310B">
        <w:rPr>
          <w:rFonts w:ascii="Times New Roman" w:hAnsi="Times New Roman"/>
          <w:sz w:val="24"/>
          <w:szCs w:val="24"/>
        </w:rPr>
        <w:t xml:space="preserve"> P/E </w:t>
      </w:r>
      <w:proofErr w:type="spellStart"/>
      <w:r w:rsidRPr="0001310B">
        <w:rPr>
          <w:rFonts w:ascii="Times New Roman" w:hAnsi="Times New Roman"/>
          <w:sz w:val="24"/>
          <w:szCs w:val="24"/>
        </w:rPr>
        <w:t>thấp</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hơn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mức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trung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bình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trong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nhiều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năm</w:t>
      </w:r>
      <w:proofErr w:type="spellEnd"/>
      <w:r w:rsidRPr="0001310B">
        <w:rPr>
          <w:rFonts w:ascii="Times New Roman" w:hAnsi="Times New Roman"/>
          <w:sz w:val="24"/>
          <w:szCs w:val="24"/>
        </w:rPr>
        <w:t xml:space="preserve"> qua,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hấp</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dẫn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hơn</w:t>
      </w:r>
      <w:proofErr w:type="spellEnd"/>
      <w:r w:rsidRPr="0001310B">
        <w:rPr>
          <w:rFonts w:ascii="Times New Roman" w:hAnsi="Times New Roman"/>
          <w:sz w:val="24"/>
          <w:szCs w:val="24"/>
        </w:rPr>
        <w:t xml:space="preserve"> so </w:t>
      </w:r>
      <w:proofErr w:type="spellStart"/>
      <w:r w:rsidRPr="0001310B">
        <w:rPr>
          <w:rFonts w:ascii="Times New Roman" w:hAnsi="Times New Roman"/>
          <w:sz w:val="24"/>
          <w:szCs w:val="24"/>
        </w:rPr>
        <w:t>với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thị</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trường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vực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trong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mức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sinh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lời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trên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vốn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chủ</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sở</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hữu</w:t>
      </w:r>
      <w:proofErr w:type="spellEnd"/>
      <w:r w:rsidRPr="0001310B">
        <w:rPr>
          <w:rFonts w:ascii="Times New Roman" w:hAnsi="Times New Roman"/>
          <w:sz w:val="24"/>
          <w:szCs w:val="24"/>
        </w:rPr>
        <w:t xml:space="preserve"> ROE, </w:t>
      </w:r>
      <w:proofErr w:type="spellStart"/>
      <w:r w:rsidRPr="0001310B">
        <w:rPr>
          <w:rFonts w:ascii="Times New Roman" w:hAnsi="Times New Roman"/>
          <w:sz w:val="24"/>
          <w:szCs w:val="24"/>
        </w:rPr>
        <w:t>mức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sinh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lời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trên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tài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sản</w:t>
      </w:r>
      <w:proofErr w:type="spellEnd"/>
      <w:r w:rsidRPr="0001310B">
        <w:rPr>
          <w:rFonts w:ascii="Times New Roman" w:hAnsi="Times New Roman"/>
          <w:sz w:val="24"/>
          <w:szCs w:val="24"/>
        </w:rPr>
        <w:t xml:space="preserve"> ROA </w:t>
      </w:r>
      <w:proofErr w:type="spellStart"/>
      <w:r w:rsidRPr="0001310B">
        <w:rPr>
          <w:rFonts w:ascii="Times New Roman" w:hAnsi="Times New Roman"/>
          <w:sz w:val="24"/>
          <w:szCs w:val="24"/>
        </w:rPr>
        <w:t>khá</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cao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Tầng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lớp</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trung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lưu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tăng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lên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tham</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gia</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ngày</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càng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nhiều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thị</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trường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chứng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khoán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thể</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hiện</w:t>
      </w:r>
      <w:proofErr w:type="spellEnd"/>
      <w:r w:rsidRPr="0001310B">
        <w:rPr>
          <w:rFonts w:ascii="Times New Roman" w:hAnsi="Times New Roman"/>
          <w:sz w:val="24"/>
          <w:szCs w:val="24"/>
        </w:rPr>
        <w:t xml:space="preserve"> qua </w:t>
      </w:r>
      <w:proofErr w:type="spellStart"/>
      <w:r w:rsidRPr="0001310B">
        <w:rPr>
          <w:rFonts w:ascii="Times New Roman" w:hAnsi="Times New Roman"/>
          <w:sz w:val="24"/>
          <w:szCs w:val="24"/>
        </w:rPr>
        <w:t>số</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tài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khoản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mở</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tăng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mạnh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trong</w:t>
      </w:r>
      <w:proofErr w:type="spellEnd"/>
      <w:r w:rsidRPr="0001310B">
        <w:rPr>
          <w:rFonts w:ascii="Times New Roman" w:hAnsi="Times New Roman"/>
          <w:sz w:val="24"/>
          <w:szCs w:val="24"/>
        </w:rPr>
        <w:t xml:space="preserve"> 2 </w:t>
      </w:r>
      <w:proofErr w:type="spellStart"/>
      <w:r w:rsidRPr="0001310B">
        <w:rPr>
          <w:rFonts w:ascii="Times New Roman" w:hAnsi="Times New Roman"/>
          <w:sz w:val="24"/>
          <w:szCs w:val="24"/>
        </w:rPr>
        <w:t>năm</w:t>
      </w:r>
      <w:proofErr w:type="spellEnd"/>
      <w:r w:rsidRPr="0001310B">
        <w:rPr>
          <w:rFonts w:ascii="Times New Roman" w:hAnsi="Times New Roman"/>
          <w:sz w:val="24"/>
          <w:szCs w:val="24"/>
        </w:rPr>
        <w:t xml:space="preserve"> qua.</w:t>
      </w:r>
    </w:p>
    <w:p w14:paraId="3251834B" w14:textId="77777777" w:rsidR="006F7C5E" w:rsidRPr="0001310B" w:rsidRDefault="006F7C5E" w:rsidP="006F7C5E">
      <w:pPr>
        <w:shd w:val="clear" w:color="auto" w:fill="FFFFFF"/>
        <w:tabs>
          <w:tab w:val="left" w:pos="540"/>
        </w:tabs>
        <w:spacing w:before="120" w:after="0" w:line="240" w:lineRule="auto"/>
        <w:jc w:val="both"/>
        <w:rPr>
          <w:rFonts w:ascii="Times New Roman" w:hAnsi="Times New Roman"/>
          <w:sz w:val="24"/>
          <w:szCs w:val="24"/>
        </w:rPr>
      </w:pPr>
      <w:proofErr w:type="spellStart"/>
      <w:r w:rsidRPr="0001310B">
        <w:rPr>
          <w:rFonts w:ascii="Times New Roman" w:hAnsi="Times New Roman"/>
          <w:sz w:val="24"/>
          <w:szCs w:val="24"/>
        </w:rPr>
        <w:t>Ngoài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ra</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yếu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tố</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mang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tính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sự</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kiện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xúc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tạo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động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lực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tăng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trưởng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cho</w:t>
      </w:r>
      <w:proofErr w:type="spellEnd"/>
      <w:r w:rsidRPr="0001310B">
        <w:rPr>
          <w:rFonts w:ascii="Times New Roman" w:hAnsi="Times New Roman"/>
          <w:sz w:val="24"/>
          <w:szCs w:val="24"/>
        </w:rPr>
        <w:t xml:space="preserve"> Thị </w:t>
      </w:r>
      <w:proofErr w:type="spellStart"/>
      <w:r w:rsidRPr="0001310B">
        <w:rPr>
          <w:rFonts w:ascii="Times New Roman" w:hAnsi="Times New Roman"/>
          <w:sz w:val="24"/>
          <w:szCs w:val="24"/>
        </w:rPr>
        <w:t>trường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Chứng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khoán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như</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việc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nới</w:t>
      </w:r>
      <w:proofErr w:type="spellEnd"/>
      <w:r w:rsidRPr="0001310B">
        <w:rPr>
          <w:rFonts w:ascii="Times New Roman" w:hAnsi="Times New Roman"/>
          <w:sz w:val="24"/>
          <w:szCs w:val="24"/>
        </w:rPr>
        <w:t xml:space="preserve"> room </w:t>
      </w:r>
      <w:proofErr w:type="spellStart"/>
      <w:r w:rsidRPr="0001310B">
        <w:rPr>
          <w:rFonts w:ascii="Times New Roman" w:hAnsi="Times New Roman"/>
          <w:sz w:val="24"/>
          <w:szCs w:val="24"/>
        </w:rPr>
        <w:t>cho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đầu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tư</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nước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ngoài</w:t>
      </w:r>
      <w:proofErr w:type="spellEnd"/>
      <w:r w:rsidRPr="0001310B">
        <w:rPr>
          <w:rFonts w:ascii="Times New Roman" w:hAnsi="Times New Roman"/>
          <w:sz w:val="24"/>
          <w:szCs w:val="24"/>
        </w:rPr>
        <w:t xml:space="preserve">; (ii) </w:t>
      </w:r>
      <w:proofErr w:type="spellStart"/>
      <w:r w:rsidRPr="0001310B">
        <w:rPr>
          <w:rFonts w:ascii="Times New Roman" w:hAnsi="Times New Roman"/>
          <w:sz w:val="24"/>
          <w:szCs w:val="24"/>
        </w:rPr>
        <w:t>thúc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đẩy</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cổ</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phần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hóa</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niêm</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yết</w:t>
      </w:r>
      <w:proofErr w:type="spellEnd"/>
      <w:r w:rsidRPr="0001310B">
        <w:rPr>
          <w:rFonts w:ascii="Times New Roman" w:hAnsi="Times New Roman"/>
          <w:sz w:val="24"/>
          <w:szCs w:val="24"/>
        </w:rPr>
        <w:t xml:space="preserve"> Doanh </w:t>
      </w:r>
      <w:proofErr w:type="spellStart"/>
      <w:r w:rsidRPr="0001310B">
        <w:rPr>
          <w:rFonts w:ascii="Times New Roman" w:hAnsi="Times New Roman"/>
          <w:sz w:val="24"/>
          <w:szCs w:val="24"/>
        </w:rPr>
        <w:t>nghiệp</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nước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Đẩy</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mạnh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giải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ngân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đầu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tư</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công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từ</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giai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đoạn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năm</w:t>
      </w:r>
      <w:proofErr w:type="spellEnd"/>
      <w:r w:rsidRPr="0001310B">
        <w:rPr>
          <w:rFonts w:ascii="Times New Roman" w:hAnsi="Times New Roman"/>
          <w:sz w:val="24"/>
          <w:szCs w:val="24"/>
        </w:rPr>
        <w:t xml:space="preserve"> 2022-2023 </w:t>
      </w:r>
      <w:proofErr w:type="spellStart"/>
      <w:r w:rsidRPr="0001310B">
        <w:rPr>
          <w:rFonts w:ascii="Times New Roman" w:hAnsi="Times New Roman"/>
          <w:sz w:val="24"/>
          <w:szCs w:val="24"/>
        </w:rPr>
        <w:t>cùng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gói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hỗ</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trợ</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phát</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triển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kinh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tế</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đã</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được</w:t>
      </w:r>
      <w:proofErr w:type="spellEnd"/>
      <w:r w:rsidRPr="0001310B">
        <w:rPr>
          <w:rFonts w:ascii="Times New Roman" w:hAnsi="Times New Roman"/>
          <w:sz w:val="24"/>
          <w:szCs w:val="24"/>
        </w:rPr>
        <w:t xml:space="preserve"> Quốc </w:t>
      </w:r>
      <w:proofErr w:type="spellStart"/>
      <w:r w:rsidRPr="0001310B">
        <w:rPr>
          <w:rFonts w:ascii="Times New Roman" w:hAnsi="Times New Roman"/>
          <w:sz w:val="24"/>
          <w:szCs w:val="24"/>
        </w:rPr>
        <w:t>hội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thông</w:t>
      </w:r>
      <w:proofErr w:type="spellEnd"/>
      <w:r w:rsidRPr="0001310B">
        <w:rPr>
          <w:rFonts w:ascii="Times New Roman" w:hAnsi="Times New Roman"/>
          <w:sz w:val="24"/>
          <w:szCs w:val="24"/>
        </w:rPr>
        <w:t xml:space="preserve"> qua </w:t>
      </w:r>
      <w:proofErr w:type="spellStart"/>
      <w:r w:rsidRPr="0001310B">
        <w:rPr>
          <w:rFonts w:ascii="Times New Roman" w:hAnsi="Times New Roman"/>
          <w:sz w:val="24"/>
          <w:szCs w:val="24"/>
        </w:rPr>
        <w:t>trong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năm</w:t>
      </w:r>
      <w:proofErr w:type="spellEnd"/>
      <w:r w:rsidRPr="0001310B">
        <w:rPr>
          <w:rFonts w:ascii="Times New Roman" w:hAnsi="Times New Roman"/>
          <w:sz w:val="24"/>
          <w:szCs w:val="24"/>
        </w:rPr>
        <w:t xml:space="preserve"> 2022; (iii) </w:t>
      </w:r>
      <w:proofErr w:type="spellStart"/>
      <w:r w:rsidRPr="0001310B">
        <w:rPr>
          <w:rFonts w:ascii="Times New Roman" w:hAnsi="Times New Roman"/>
          <w:sz w:val="24"/>
          <w:szCs w:val="24"/>
        </w:rPr>
        <w:t>triển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vọng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nâng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hạng</w:t>
      </w:r>
      <w:proofErr w:type="spellEnd"/>
      <w:r w:rsidRPr="0001310B">
        <w:rPr>
          <w:rFonts w:ascii="Times New Roman" w:hAnsi="Times New Roman"/>
          <w:sz w:val="24"/>
          <w:szCs w:val="24"/>
        </w:rPr>
        <w:t xml:space="preserve"> Thị </w:t>
      </w:r>
      <w:proofErr w:type="spellStart"/>
      <w:r w:rsidRPr="0001310B">
        <w:rPr>
          <w:rFonts w:ascii="Times New Roman" w:hAnsi="Times New Roman"/>
          <w:sz w:val="24"/>
          <w:szCs w:val="24"/>
        </w:rPr>
        <w:t>trường</w:t>
      </w:r>
      <w:proofErr w:type="spellEnd"/>
      <w:r w:rsidRPr="0001310B">
        <w:rPr>
          <w:rFonts w:ascii="Times New Roman" w:hAnsi="Times New Roman"/>
          <w:sz w:val="24"/>
          <w:szCs w:val="24"/>
        </w:rPr>
        <w:t xml:space="preserve"> Việt Nam (FTSE Russel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MSCI Emerging Market), </w:t>
      </w:r>
      <w:proofErr w:type="spellStart"/>
      <w:r w:rsidRPr="0001310B">
        <w:rPr>
          <w:rFonts w:ascii="Times New Roman" w:hAnsi="Times New Roman"/>
          <w:sz w:val="24"/>
          <w:szCs w:val="24"/>
        </w:rPr>
        <w:t>đặc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biệt</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những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bước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tiến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triển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gần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đây</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cơ</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quan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nước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như</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Bộ</w:t>
      </w:r>
      <w:proofErr w:type="spellEnd"/>
      <w:r w:rsidRPr="0001310B">
        <w:rPr>
          <w:rFonts w:ascii="Times New Roman" w:hAnsi="Times New Roman"/>
          <w:sz w:val="24"/>
          <w:szCs w:val="24"/>
        </w:rPr>
        <w:t xml:space="preserve"> Tài </w:t>
      </w:r>
      <w:proofErr w:type="spellStart"/>
      <w:r w:rsidRPr="0001310B">
        <w:rPr>
          <w:rFonts w:ascii="Times New Roman" w:hAnsi="Times New Roman"/>
          <w:sz w:val="24"/>
          <w:szCs w:val="24"/>
        </w:rPr>
        <w:t>chính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Ủy</w:t>
      </w:r>
      <w:proofErr w:type="spellEnd"/>
      <w:r w:rsidRPr="0001310B">
        <w:rPr>
          <w:rFonts w:ascii="Times New Roman" w:hAnsi="Times New Roman"/>
          <w:sz w:val="24"/>
          <w:szCs w:val="24"/>
        </w:rPr>
        <w:t xml:space="preserve"> ban </w:t>
      </w:r>
      <w:proofErr w:type="spellStart"/>
      <w:r w:rsidRPr="0001310B">
        <w:rPr>
          <w:rFonts w:ascii="Times New Roman" w:hAnsi="Times New Roman"/>
          <w:sz w:val="24"/>
          <w:szCs w:val="24"/>
        </w:rPr>
        <w:t>Chứng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khoán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nước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đã</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có</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những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hành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động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cụ</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thể</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để</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nhanh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quá</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trình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nâng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hạng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trước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năm</w:t>
      </w:r>
      <w:proofErr w:type="spellEnd"/>
      <w:r w:rsidRPr="0001310B">
        <w:rPr>
          <w:rFonts w:ascii="Times New Roman" w:hAnsi="Times New Roman"/>
          <w:sz w:val="24"/>
          <w:szCs w:val="24"/>
        </w:rPr>
        <w:t xml:space="preserve"> 2025 </w:t>
      </w:r>
      <w:proofErr w:type="spellStart"/>
      <w:r w:rsidRPr="0001310B">
        <w:rPr>
          <w:rFonts w:ascii="Times New Roman" w:hAnsi="Times New Roman"/>
          <w:sz w:val="24"/>
          <w:szCs w:val="24"/>
        </w:rPr>
        <w:t>như</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tích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cực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chuẩn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bị</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vận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hành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hệ</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thống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giao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dịch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chứng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khoán</w:t>
      </w:r>
      <w:proofErr w:type="spellEnd"/>
      <w:r w:rsidRPr="0001310B">
        <w:rPr>
          <w:rFonts w:ascii="Times New Roman" w:hAnsi="Times New Roman"/>
          <w:sz w:val="24"/>
          <w:szCs w:val="24"/>
        </w:rPr>
        <w:t xml:space="preserve"> KRX, </w:t>
      </w:r>
      <w:proofErr w:type="spellStart"/>
      <w:r w:rsidRPr="0001310B">
        <w:rPr>
          <w:rFonts w:ascii="Times New Roman" w:hAnsi="Times New Roman"/>
          <w:sz w:val="24"/>
          <w:szCs w:val="24"/>
        </w:rPr>
        <w:t>tổ</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chức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buổi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tọa</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đàm</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lấy</w:t>
      </w:r>
      <w:proofErr w:type="spellEnd"/>
      <w:r w:rsidRPr="0001310B">
        <w:rPr>
          <w:rFonts w:ascii="Times New Roman" w:hAnsi="Times New Roman"/>
          <w:sz w:val="24"/>
          <w:szCs w:val="24"/>
        </w:rPr>
        <w:t xml:space="preserve"> ý </w:t>
      </w:r>
      <w:proofErr w:type="spellStart"/>
      <w:r w:rsidRPr="0001310B">
        <w:rPr>
          <w:rFonts w:ascii="Times New Roman" w:hAnsi="Times New Roman"/>
          <w:sz w:val="24"/>
          <w:szCs w:val="24"/>
        </w:rPr>
        <w:t>kiến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cũng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như</w:t>
      </w:r>
      <w:proofErr w:type="spellEnd"/>
      <w:r w:rsidRPr="0001310B">
        <w:rPr>
          <w:rFonts w:ascii="Times New Roman" w:hAnsi="Times New Roman"/>
          <w:sz w:val="24"/>
          <w:szCs w:val="24"/>
        </w:rPr>
        <w:t xml:space="preserve"> chia </w:t>
      </w:r>
      <w:proofErr w:type="spellStart"/>
      <w:r w:rsidRPr="0001310B">
        <w:rPr>
          <w:rFonts w:ascii="Times New Roman" w:hAnsi="Times New Roman"/>
          <w:sz w:val="24"/>
          <w:szCs w:val="24"/>
        </w:rPr>
        <w:t>sẽ</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quyết</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tâm</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từ</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Chính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phủ</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về</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việc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nâng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hạng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đến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đầu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tư</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nước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ngoài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cũng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như</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tổ</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chức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đánh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giá</w:t>
      </w:r>
      <w:proofErr w:type="spellEnd"/>
      <w:r w:rsidRPr="0001310B">
        <w:rPr>
          <w:rFonts w:ascii="Times New Roman" w:hAnsi="Times New Roman"/>
          <w:sz w:val="24"/>
          <w:szCs w:val="24"/>
        </w:rPr>
        <w:t xml:space="preserve">; (iv) </w:t>
      </w:r>
      <w:proofErr w:type="spellStart"/>
      <w:r w:rsidRPr="0001310B">
        <w:rPr>
          <w:rFonts w:ascii="Times New Roman" w:hAnsi="Times New Roman"/>
          <w:sz w:val="24"/>
          <w:szCs w:val="24"/>
        </w:rPr>
        <w:t>tích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cực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đẩy</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mạnh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tham</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gia</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hiệp</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định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thương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mại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tự</w:t>
      </w:r>
      <w:proofErr w:type="spellEnd"/>
      <w:r w:rsidRPr="0001310B">
        <w:rPr>
          <w:rFonts w:ascii="Times New Roman" w:hAnsi="Times New Roman"/>
          <w:sz w:val="24"/>
          <w:szCs w:val="24"/>
        </w:rPr>
        <w:t xml:space="preserve"> do (FTAs); (v) </w:t>
      </w:r>
      <w:proofErr w:type="spellStart"/>
      <w:r w:rsidRPr="0001310B">
        <w:rPr>
          <w:rFonts w:ascii="Times New Roman" w:hAnsi="Times New Roman"/>
          <w:sz w:val="24"/>
          <w:szCs w:val="24"/>
        </w:rPr>
        <w:t>thu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hút</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vốn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đầu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tư</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thị</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trường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chứng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khoán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thông</w:t>
      </w:r>
      <w:proofErr w:type="spellEnd"/>
      <w:r w:rsidRPr="0001310B">
        <w:rPr>
          <w:rFonts w:ascii="Times New Roman" w:hAnsi="Times New Roman"/>
          <w:sz w:val="24"/>
          <w:szCs w:val="24"/>
        </w:rPr>
        <w:t xml:space="preserve"> qua </w:t>
      </w:r>
      <w:proofErr w:type="spellStart"/>
      <w:r w:rsidRPr="0001310B">
        <w:rPr>
          <w:rFonts w:ascii="Times New Roman" w:hAnsi="Times New Roman"/>
          <w:sz w:val="24"/>
          <w:szCs w:val="24"/>
        </w:rPr>
        <w:t>các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sản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phẩm</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như</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quỹ</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chỉ</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số</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hợp</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đồng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tương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lai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quyền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chọn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Luật</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chứng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khoán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hiệu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lực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từ</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năm</w:t>
      </w:r>
      <w:proofErr w:type="spellEnd"/>
      <w:r w:rsidRPr="0001310B">
        <w:rPr>
          <w:rFonts w:ascii="Times New Roman" w:hAnsi="Times New Roman"/>
          <w:sz w:val="24"/>
          <w:szCs w:val="24"/>
        </w:rPr>
        <w:t xml:space="preserve"> 2021. </w:t>
      </w:r>
    </w:p>
    <w:p w14:paraId="7C26AEFB" w14:textId="77777777" w:rsidR="006F7C5E" w:rsidRPr="0001310B" w:rsidRDefault="006F7C5E" w:rsidP="006F7C5E">
      <w:pPr>
        <w:shd w:val="clear" w:color="auto" w:fill="FFFFFF"/>
        <w:tabs>
          <w:tab w:val="left" w:pos="540"/>
        </w:tabs>
        <w:spacing w:before="120" w:after="0" w:line="240" w:lineRule="auto"/>
        <w:jc w:val="both"/>
        <w:rPr>
          <w:rFonts w:ascii="Times New Roman" w:hAnsi="Times New Roman"/>
          <w:sz w:val="24"/>
          <w:szCs w:val="24"/>
        </w:rPr>
      </w:pPr>
      <w:r w:rsidRPr="0001310B">
        <w:rPr>
          <w:rFonts w:ascii="Times New Roman" w:hAnsi="Times New Roman"/>
          <w:sz w:val="24"/>
          <w:szCs w:val="24"/>
        </w:rPr>
        <w:t xml:space="preserve">Tuy </w:t>
      </w:r>
      <w:proofErr w:type="spellStart"/>
      <w:r w:rsidRPr="0001310B">
        <w:rPr>
          <w:rFonts w:ascii="Times New Roman" w:hAnsi="Times New Roman"/>
          <w:sz w:val="24"/>
          <w:szCs w:val="24"/>
        </w:rPr>
        <w:t>nhiên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chúng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tôi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vẫn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khuyến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nghị</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thận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trọng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những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rủi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ro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trên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thế</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có</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thể</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chưa</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lường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trước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được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ảnh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hưởng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sâu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rộng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đến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tình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hình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kinh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tế</w:t>
      </w:r>
      <w:proofErr w:type="spellEnd"/>
      <w:r w:rsidRPr="0001310B">
        <w:rPr>
          <w:rFonts w:ascii="Times New Roman" w:hAnsi="Times New Roman"/>
          <w:sz w:val="24"/>
          <w:szCs w:val="24"/>
        </w:rPr>
        <w:t xml:space="preserve"> Việt Nam: </w:t>
      </w:r>
      <w:proofErr w:type="spellStart"/>
      <w:r w:rsidRPr="0001310B">
        <w:rPr>
          <w:rFonts w:ascii="Times New Roman" w:hAnsi="Times New Roman"/>
          <w:sz w:val="24"/>
          <w:szCs w:val="24"/>
        </w:rPr>
        <w:t>lạm</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phát</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vẫn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duy</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trì</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khá</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cao</w:t>
      </w:r>
      <w:proofErr w:type="spellEnd"/>
      <w:r w:rsidRPr="0001310B">
        <w:rPr>
          <w:rFonts w:ascii="Times New Roman" w:hAnsi="Times New Roman"/>
          <w:sz w:val="24"/>
          <w:szCs w:val="24"/>
        </w:rPr>
        <w:t xml:space="preserve"> ở </w:t>
      </w:r>
      <w:proofErr w:type="spellStart"/>
      <w:r w:rsidRPr="0001310B">
        <w:rPr>
          <w:rFonts w:ascii="Times New Roman" w:hAnsi="Times New Roman"/>
          <w:sz w:val="24"/>
          <w:szCs w:val="24"/>
        </w:rPr>
        <w:t>nhiều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nền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kinh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tế</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lớn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dù</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đang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có</w:t>
      </w:r>
      <w:proofErr w:type="spellEnd"/>
      <w:r w:rsidRPr="0001310B">
        <w:rPr>
          <w:rFonts w:ascii="Times New Roman" w:hAnsi="Times New Roman"/>
          <w:sz w:val="24"/>
          <w:szCs w:val="24"/>
        </w:rPr>
        <w:t xml:space="preserve"> xu </w:t>
      </w:r>
      <w:proofErr w:type="spellStart"/>
      <w:r w:rsidRPr="0001310B">
        <w:rPr>
          <w:rFonts w:ascii="Times New Roman" w:hAnsi="Times New Roman"/>
          <w:sz w:val="24"/>
          <w:szCs w:val="24"/>
        </w:rPr>
        <w:t>hướng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giảm</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xuống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bất</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ổn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địa</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chính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trị</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ảnh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hưởng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biến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đổi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khí</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hậu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những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ẩn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số</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khó</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dự</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báo</w:t>
      </w:r>
      <w:proofErr w:type="spellEnd"/>
      <w:r w:rsidRPr="0001310B">
        <w:rPr>
          <w:rFonts w:ascii="Times New Roman" w:hAnsi="Times New Roman"/>
          <w:sz w:val="24"/>
          <w:szCs w:val="24"/>
        </w:rPr>
        <w:t xml:space="preserve">. Trong </w:t>
      </w:r>
      <w:proofErr w:type="spellStart"/>
      <w:r w:rsidRPr="0001310B">
        <w:rPr>
          <w:rFonts w:ascii="Times New Roman" w:hAnsi="Times New Roman"/>
          <w:sz w:val="24"/>
          <w:szCs w:val="24"/>
        </w:rPr>
        <w:t>khi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đó</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cầu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tiêu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thụ</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toàn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cầu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suy</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giảm</w:t>
      </w:r>
      <w:proofErr w:type="spellEnd"/>
      <w:r w:rsidRPr="0001310B">
        <w:rPr>
          <w:rFonts w:ascii="Times New Roman" w:hAnsi="Times New Roman"/>
          <w:sz w:val="24"/>
          <w:szCs w:val="24"/>
        </w:rPr>
        <w:t xml:space="preserve">, Châu </w:t>
      </w:r>
      <w:proofErr w:type="spellStart"/>
      <w:r w:rsidRPr="0001310B">
        <w:rPr>
          <w:rFonts w:ascii="Times New Roman" w:hAnsi="Times New Roman"/>
          <w:sz w:val="24"/>
          <w:szCs w:val="24"/>
        </w:rPr>
        <w:t>Âu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Trung Quốc </w:t>
      </w:r>
      <w:proofErr w:type="spellStart"/>
      <w:r w:rsidRPr="0001310B">
        <w:rPr>
          <w:rFonts w:ascii="Times New Roman" w:hAnsi="Times New Roman"/>
          <w:sz w:val="24"/>
          <w:szCs w:val="24"/>
        </w:rPr>
        <w:t>đối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mặt</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nguy</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cơ</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suy</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thoái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kinh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tế</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Đối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trong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nước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rủi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ro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thị</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trường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bất</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động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sản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trái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phiếu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doanh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nghiệp</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nợ</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xấu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của</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hệ</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thống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ngân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hàng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chưa</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lường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hết</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quy</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mô</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ảnh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hưởng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cầu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tiêu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dùng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đầu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tư</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của</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xã</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hội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đều</w:t>
      </w:r>
      <w:proofErr w:type="spellEnd"/>
      <w:r w:rsidRPr="0001310B">
        <w:rPr>
          <w:rFonts w:ascii="Times New Roman" w:hAnsi="Times New Roman"/>
          <w:sz w:val="24"/>
          <w:szCs w:val="24"/>
        </w:rPr>
        <w:t xml:space="preserve"> ở </w:t>
      </w:r>
      <w:proofErr w:type="spellStart"/>
      <w:r w:rsidRPr="0001310B">
        <w:rPr>
          <w:rFonts w:ascii="Times New Roman" w:hAnsi="Times New Roman"/>
          <w:sz w:val="24"/>
          <w:szCs w:val="24"/>
        </w:rPr>
        <w:t>mức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thấp</w:t>
      </w:r>
      <w:proofErr w:type="spellEnd"/>
      <w:r w:rsidRPr="0001310B">
        <w:rPr>
          <w:rFonts w:ascii="Times New Roman" w:hAnsi="Times New Roman"/>
          <w:sz w:val="24"/>
          <w:szCs w:val="24"/>
        </w:rPr>
        <w:t xml:space="preserve">. Do </w:t>
      </w:r>
      <w:proofErr w:type="spellStart"/>
      <w:r w:rsidRPr="0001310B">
        <w:rPr>
          <w:rFonts w:ascii="Times New Roman" w:hAnsi="Times New Roman"/>
          <w:sz w:val="24"/>
          <w:szCs w:val="24"/>
        </w:rPr>
        <w:t>đó</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việc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giữ</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ổn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định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kinh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tế</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vĩ</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mô</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thúc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đẩy</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tăng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trưởng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như</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mục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tiêu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hiện</w:t>
      </w:r>
      <w:proofErr w:type="spellEnd"/>
      <w:r w:rsidRPr="0001310B">
        <w:rPr>
          <w:rFonts w:ascii="Times New Roman" w:hAnsi="Times New Roman"/>
          <w:sz w:val="24"/>
          <w:szCs w:val="24"/>
        </w:rPr>
        <w:t xml:space="preserve"> nay </w:t>
      </w:r>
      <w:proofErr w:type="spellStart"/>
      <w:r w:rsidRPr="0001310B">
        <w:rPr>
          <w:rFonts w:ascii="Times New Roman" w:hAnsi="Times New Roman"/>
          <w:sz w:val="24"/>
          <w:szCs w:val="24"/>
        </w:rPr>
        <w:t>được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đánh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giá</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nhiệm</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vụ</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khá</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thách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thức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Chính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Phủ</w:t>
      </w:r>
      <w:proofErr w:type="spellEnd"/>
      <w:r w:rsidRPr="0001310B">
        <w:rPr>
          <w:rFonts w:ascii="Times New Roman" w:hAnsi="Times New Roman"/>
          <w:sz w:val="24"/>
          <w:szCs w:val="24"/>
        </w:rPr>
        <w:t>.</w:t>
      </w:r>
    </w:p>
    <w:p w14:paraId="785FB1AB" w14:textId="27EC69F9" w:rsidR="0058782D" w:rsidRDefault="006F7C5E" w:rsidP="0058782D">
      <w:pPr>
        <w:shd w:val="clear" w:color="auto" w:fill="FFFFFF"/>
        <w:tabs>
          <w:tab w:val="left" w:pos="540"/>
        </w:tabs>
        <w:spacing w:before="120" w:after="0" w:line="240" w:lineRule="auto"/>
        <w:jc w:val="both"/>
        <w:rPr>
          <w:rFonts w:ascii="Times New Roman" w:hAnsi="Times New Roman"/>
          <w:sz w:val="24"/>
          <w:szCs w:val="24"/>
        </w:rPr>
      </w:pPr>
      <w:proofErr w:type="spellStart"/>
      <w:r w:rsidRPr="0001310B">
        <w:rPr>
          <w:rFonts w:ascii="Times New Roman" w:hAnsi="Times New Roman"/>
          <w:sz w:val="24"/>
          <w:szCs w:val="24"/>
        </w:rPr>
        <w:lastRenderedPageBreak/>
        <w:t>Đánh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giá</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chung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yếu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tố</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cơ</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bản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về</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giá</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trị</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kết</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hợp</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yếu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tố</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định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tính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như</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phân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tích</w:t>
      </w:r>
      <w:proofErr w:type="spellEnd"/>
      <w:r w:rsidRPr="0001310B">
        <w:rPr>
          <w:rFonts w:ascii="Times New Roman" w:hAnsi="Times New Roman"/>
          <w:sz w:val="24"/>
          <w:szCs w:val="24"/>
        </w:rPr>
        <w:t xml:space="preserve"> ở </w:t>
      </w:r>
      <w:proofErr w:type="spellStart"/>
      <w:r w:rsidRPr="0001310B">
        <w:rPr>
          <w:rFonts w:ascii="Times New Roman" w:hAnsi="Times New Roman"/>
          <w:sz w:val="24"/>
          <w:szCs w:val="24"/>
        </w:rPr>
        <w:t>trên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thấy</w:t>
      </w:r>
      <w:proofErr w:type="spellEnd"/>
      <w:r w:rsidRPr="0001310B">
        <w:rPr>
          <w:rFonts w:ascii="Times New Roman" w:hAnsi="Times New Roman"/>
          <w:sz w:val="24"/>
          <w:szCs w:val="24"/>
        </w:rPr>
        <w:t xml:space="preserve"> Thị </w:t>
      </w:r>
      <w:proofErr w:type="spellStart"/>
      <w:r w:rsidRPr="0001310B">
        <w:rPr>
          <w:rFonts w:ascii="Times New Roman" w:hAnsi="Times New Roman"/>
          <w:sz w:val="24"/>
          <w:szCs w:val="24"/>
        </w:rPr>
        <w:t>trường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Chứng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khoán</w:t>
      </w:r>
      <w:proofErr w:type="spellEnd"/>
      <w:r w:rsidRPr="0001310B">
        <w:rPr>
          <w:rFonts w:ascii="Times New Roman" w:hAnsi="Times New Roman"/>
          <w:sz w:val="24"/>
          <w:szCs w:val="24"/>
        </w:rPr>
        <w:t xml:space="preserve"> Việt Nam </w:t>
      </w:r>
      <w:proofErr w:type="spellStart"/>
      <w:r w:rsidRPr="0001310B">
        <w:rPr>
          <w:rFonts w:ascii="Times New Roman" w:hAnsi="Times New Roman"/>
          <w:sz w:val="24"/>
          <w:szCs w:val="24"/>
        </w:rPr>
        <w:t>trong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thời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gian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dài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hạn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sắp</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tiếp</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tục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có</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những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kịch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bản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sáng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sủa</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cùng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kỳ</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vọng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tiếp</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tục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phục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hồi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dần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khởi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sắc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dần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của</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nền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kinh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tế</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tạo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tiền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đề</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sự</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phát</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triển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lâu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dài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trong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những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năm</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tiếp</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theo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dĩ</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nhiên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bức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tranh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sáng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sủa</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phải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kèm</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theo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những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giả</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định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về</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động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từ</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rủi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ro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từ</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bên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ngoài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không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quá</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lớn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lạm</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phát</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tỷ</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giá</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kiểm</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soát</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tiếp</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tục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ổn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định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rủi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ro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của</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hệ</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thống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ngân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hàng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thương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mại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trong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tầm</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kiểm</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soát</w:t>
      </w:r>
      <w:proofErr w:type="spellEnd"/>
      <w:r w:rsidRPr="0001310B">
        <w:rPr>
          <w:rFonts w:ascii="Times New Roman" w:hAnsi="Times New Roman"/>
          <w:sz w:val="24"/>
          <w:szCs w:val="24"/>
        </w:rPr>
        <w:t>.</w:t>
      </w:r>
    </w:p>
    <w:p w14:paraId="21E8272C" w14:textId="77777777" w:rsidR="00A44447"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sidRPr="00E81C98">
        <w:rPr>
          <w:rFonts w:ascii="Times New Roman" w:hAnsi="Times New Roman"/>
          <w:b/>
          <w:sz w:val="24"/>
          <w:szCs w:val="24"/>
          <w:lang w:val="nl-NL"/>
        </w:rPr>
        <w:t>6</w:t>
      </w:r>
      <w:r w:rsidR="00BE6F63" w:rsidRPr="00E81C98">
        <w:rPr>
          <w:rFonts w:ascii="Times New Roman" w:hAnsi="Times New Roman"/>
          <w:b/>
          <w:sz w:val="24"/>
          <w:szCs w:val="24"/>
          <w:lang w:val="nl-NL"/>
        </w:rPr>
        <w:t>. Thông tin khác</w:t>
      </w:r>
    </w:p>
    <w:p w14:paraId="72FF594F" w14:textId="59830EAC" w:rsidR="00062055" w:rsidRPr="00A44447"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sidRPr="00A44447">
        <w:rPr>
          <w:rFonts w:ascii="Times New Roman" w:hAnsi="Times New Roman"/>
          <w:b/>
          <w:sz w:val="24"/>
          <w:szCs w:val="24"/>
          <w:lang w:val="nl-NL"/>
        </w:rPr>
        <w:t>6.1.</w:t>
      </w:r>
      <w:r w:rsidR="00315A8E" w:rsidRPr="00A44447">
        <w:rPr>
          <w:rFonts w:ascii="Times New Roman" w:hAnsi="Times New Roman"/>
          <w:b/>
          <w:sz w:val="24"/>
          <w:szCs w:val="24"/>
          <w:lang w:val="nl-NL"/>
        </w:rPr>
        <w:t xml:space="preserve"> </w:t>
      </w:r>
      <w:r w:rsidR="00E92263" w:rsidRPr="00A44447">
        <w:rPr>
          <w:rFonts w:ascii="Times New Roman" w:hAnsi="Times New Roman"/>
          <w:b/>
          <w:sz w:val="24"/>
          <w:szCs w:val="24"/>
          <w:lang w:val="nl-NL"/>
        </w:rPr>
        <w:t>Ban điều hành Công ty quản lý Quỹ</w:t>
      </w:r>
      <w:r w:rsidR="005F16E8" w:rsidRPr="00A44447">
        <w:rPr>
          <w:rFonts w:ascii="Times New Roman" w:hAnsi="Times New Roman"/>
          <w:b/>
          <w:sz w:val="24"/>
          <w:szCs w:val="24"/>
          <w:lang w:val="nl-NL"/>
        </w:rPr>
        <w:t xml:space="preserve"> </w:t>
      </w:r>
      <w:r w:rsidR="00062055" w:rsidRPr="00A44447">
        <w:rPr>
          <w:rFonts w:ascii="Times New Roman" w:hAnsi="Times New Roman"/>
          <w:b/>
          <w:sz w:val="24"/>
          <w:szCs w:val="24"/>
          <w:lang w:val="nl-NL"/>
        </w:rPr>
        <w:t xml:space="preserve"> </w:t>
      </w:r>
    </w:p>
    <w:p w14:paraId="49122FB9" w14:textId="77777777" w:rsidR="00E92263" w:rsidRPr="00A90AB7"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9E4A9A" w:rsidRPr="00A90AB7" w14:paraId="06984D68" w14:textId="77777777" w:rsidTr="0083372E">
        <w:tc>
          <w:tcPr>
            <w:tcW w:w="2970" w:type="dxa"/>
          </w:tcPr>
          <w:p w14:paraId="087C13C6" w14:textId="77777777" w:rsidR="009E4A9A" w:rsidRPr="00DF533C" w:rsidRDefault="009E4A9A" w:rsidP="009E4A9A">
            <w:pPr>
              <w:pStyle w:val="ListParagraph"/>
              <w:tabs>
                <w:tab w:val="left" w:pos="540"/>
              </w:tabs>
              <w:ind w:left="0"/>
              <w:rPr>
                <w:rFonts w:ascii="Times New Roman" w:hAnsi="Times New Roman"/>
                <w:iCs/>
                <w:sz w:val="24"/>
                <w:szCs w:val="24"/>
                <w:lang w:val="nl-NL"/>
              </w:rPr>
            </w:pPr>
            <w:r w:rsidRPr="00DF533C">
              <w:rPr>
                <w:rFonts w:ascii="Times New Roman" w:hAnsi="Times New Roman"/>
                <w:b/>
                <w:bCs/>
                <w:iCs/>
                <w:sz w:val="24"/>
                <w:szCs w:val="24"/>
                <w:lang w:val="nl-NL"/>
              </w:rPr>
              <w:t>Ông</w:t>
            </w:r>
            <w:r w:rsidRPr="00DF533C">
              <w:rPr>
                <w:rFonts w:ascii="Times New Roman" w:hAnsi="Times New Roman"/>
                <w:iCs/>
                <w:sz w:val="24"/>
                <w:szCs w:val="24"/>
                <w:lang w:val="nl-NL"/>
              </w:rPr>
              <w:t xml:space="preserve"> </w:t>
            </w:r>
            <w:r w:rsidRPr="00DF533C">
              <w:rPr>
                <w:rFonts w:ascii="Times New Roman" w:hAnsi="Times New Roman"/>
                <w:b/>
                <w:iCs/>
                <w:sz w:val="24"/>
                <w:szCs w:val="24"/>
                <w:lang w:val="nl-NL"/>
              </w:rPr>
              <w:t>Trần Châu Danh</w:t>
            </w:r>
            <w:r w:rsidRPr="00DF533C">
              <w:rPr>
                <w:rFonts w:ascii="Times New Roman" w:hAnsi="Times New Roman"/>
                <w:iCs/>
                <w:sz w:val="24"/>
                <w:szCs w:val="24"/>
                <w:lang w:val="nl-NL"/>
              </w:rPr>
              <w:t xml:space="preserve"> </w:t>
            </w:r>
          </w:p>
          <w:p w14:paraId="1B0F4EA6" w14:textId="77777777" w:rsidR="009E4A9A" w:rsidRPr="00DF533C" w:rsidRDefault="009E4A9A" w:rsidP="009E4A9A">
            <w:pPr>
              <w:pStyle w:val="ListParagraph"/>
              <w:tabs>
                <w:tab w:val="left" w:pos="540"/>
              </w:tabs>
              <w:ind w:left="0"/>
              <w:rPr>
                <w:rFonts w:ascii="Times New Roman" w:hAnsi="Times New Roman"/>
                <w:iCs/>
                <w:sz w:val="24"/>
                <w:szCs w:val="24"/>
                <w:lang w:val="nl-NL"/>
              </w:rPr>
            </w:pPr>
            <w:r w:rsidRPr="00DF533C">
              <w:rPr>
                <w:rFonts w:ascii="Times New Roman" w:hAnsi="Times New Roman"/>
                <w:iCs/>
                <w:sz w:val="24"/>
                <w:szCs w:val="24"/>
                <w:lang w:val="nl-NL"/>
              </w:rPr>
              <w:t>Tổng Giám đốc kiêm Giám đốc Điều hành Đầu tư</w:t>
            </w:r>
          </w:p>
          <w:p w14:paraId="3549073A" w14:textId="77777777" w:rsidR="009E4A9A" w:rsidRPr="00DF533C" w:rsidRDefault="009E4A9A" w:rsidP="009E4A9A">
            <w:pPr>
              <w:pStyle w:val="ListParagraph"/>
              <w:tabs>
                <w:tab w:val="left" w:pos="540"/>
              </w:tabs>
              <w:ind w:left="0"/>
              <w:rPr>
                <w:rFonts w:ascii="Times New Roman" w:hAnsi="Times New Roman"/>
                <w:iCs/>
                <w:sz w:val="24"/>
                <w:szCs w:val="24"/>
                <w:lang w:val="nl-NL"/>
              </w:rPr>
            </w:pPr>
          </w:p>
          <w:p w14:paraId="08D79F84" w14:textId="77777777" w:rsidR="009E4A9A" w:rsidRPr="00A90AB7" w:rsidRDefault="009E4A9A" w:rsidP="009E4A9A">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1EFD51F0" w14:textId="77777777" w:rsidR="009E4A9A" w:rsidRPr="00DF533C" w:rsidRDefault="009E4A9A" w:rsidP="009E4A9A">
            <w:pPr>
              <w:pStyle w:val="ListParagraph"/>
              <w:tabs>
                <w:tab w:val="left" w:pos="540"/>
              </w:tabs>
              <w:spacing w:before="120" w:after="0"/>
              <w:ind w:left="0"/>
              <w:jc w:val="both"/>
              <w:rPr>
                <w:rFonts w:ascii="Times New Roman" w:hAnsi="Times New Roman"/>
                <w:b/>
                <w:i/>
                <w:sz w:val="24"/>
                <w:szCs w:val="24"/>
                <w:lang w:val="nl-NL"/>
              </w:rPr>
            </w:pPr>
            <w:r w:rsidRPr="00DF533C">
              <w:rPr>
                <w:rFonts w:ascii="Times New Roman" w:hAnsi="Times New Roman"/>
                <w:b/>
                <w:i/>
                <w:sz w:val="24"/>
                <w:szCs w:val="24"/>
                <w:lang w:val="nl-NL"/>
              </w:rPr>
              <w:t xml:space="preserve">Trình độ chuyên môn </w:t>
            </w:r>
          </w:p>
          <w:p w14:paraId="773D2C31"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Kinh tế Đối ngoại, Đại học Ngoại thương Thành phố Hồ Chí Minh;</w:t>
            </w:r>
          </w:p>
          <w:p w14:paraId="00D54300"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Ngân hàng, Đại học Ngân hàng Thành phố Hồ Chí Minh;</w:t>
            </w:r>
          </w:p>
          <w:p w14:paraId="1077F965"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Thạc sỹ Kinh tế Phát triển, Chương trình Cao học Kinh tế Phát triển Việt Nam – Hà Lan, Thành phố Hồ Chí Minh;</w:t>
            </w:r>
          </w:p>
          <w:p w14:paraId="65A7597A"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Văn bằng Chuyên viên Phân tích Tài chính quốc tế CFA (Chartered Financial Analyst);</w:t>
            </w:r>
          </w:p>
          <w:p w14:paraId="60209517"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Văn bằng Chuyên gia Phân tích Kỹ thuật Thị trường Chứng khoán CMT (Chartered Market Technician);</w:t>
            </w:r>
          </w:p>
          <w:p w14:paraId="5D048DF0"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 xml:space="preserve">Chứng chỉ hành nghề Quản lý Quỹ của Ủy ban Chứng khoán Nhà nước. </w:t>
            </w:r>
          </w:p>
          <w:p w14:paraId="12C61053" w14:textId="77777777" w:rsidR="009E4A9A" w:rsidRPr="00DF533C" w:rsidRDefault="009E4A9A" w:rsidP="009E4A9A">
            <w:pPr>
              <w:tabs>
                <w:tab w:val="left" w:pos="706"/>
              </w:tabs>
              <w:spacing w:before="120" w:after="0"/>
              <w:rPr>
                <w:rFonts w:ascii="Times New Roman" w:hAnsi="Times New Roman"/>
                <w:b/>
                <w:i/>
                <w:sz w:val="24"/>
                <w:szCs w:val="24"/>
                <w:lang w:val="nl-NL"/>
              </w:rPr>
            </w:pPr>
            <w:r w:rsidRPr="00DF533C">
              <w:rPr>
                <w:rFonts w:ascii="Times New Roman" w:hAnsi="Times New Roman"/>
                <w:b/>
                <w:i/>
                <w:sz w:val="24"/>
                <w:szCs w:val="24"/>
                <w:lang w:val="nl-NL"/>
              </w:rPr>
              <w:t>Kinh nghiệm làm việc</w:t>
            </w:r>
          </w:p>
          <w:p w14:paraId="7FE17026" w14:textId="536CF55A" w:rsidR="009E4A9A" w:rsidRPr="00A90AB7" w:rsidRDefault="009E4A9A" w:rsidP="009E4A9A">
            <w:pPr>
              <w:tabs>
                <w:tab w:val="left" w:pos="706"/>
              </w:tabs>
              <w:spacing w:before="120" w:line="240" w:lineRule="auto"/>
              <w:jc w:val="both"/>
              <w:rPr>
                <w:rFonts w:ascii="Times New Roman" w:hAnsi="Times New Roman"/>
                <w:sz w:val="24"/>
                <w:szCs w:val="24"/>
                <w:lang w:val="nl-NL"/>
              </w:rPr>
            </w:pPr>
            <w:r w:rsidRPr="00DF533C">
              <w:rPr>
                <w:rFonts w:ascii="Times New Roman" w:hAnsi="Times New Roman"/>
                <w:sz w:val="24"/>
                <w:szCs w:val="24"/>
                <w:lang w:val="nl-NL"/>
              </w:rPr>
              <w:t>Ông có hai mươi (20) năm kinh nghiệm trong lĩnh vực đầu tư, quản lý quỹ và quản lý danh mục đầu tư. Ông đã tham gia hoạt động vào Thị trường Chứng khoán Việt nam từ khi thị trường mới được thành lập. Trước khi gia nhập Công ty, ông đã làm việc tại Công ty TNHH Bảo hiểm Nhân thọ Dai-ichi Việt Nam với vai trò là Phó Tổng Giám đốc Đầu tư, phụ trách các hoạt động đầu tư và quản lý tài sản nợ có từ năm 2011.Trước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Công ty Trách nhiệm Hữu hạn Quản lý Quỹ Prudential Việt Nam).</w:t>
            </w:r>
          </w:p>
        </w:tc>
      </w:tr>
    </w:tbl>
    <w:p w14:paraId="5F0B0FF8" w14:textId="53D54D52" w:rsidR="00E92263" w:rsidRDefault="00A44447" w:rsidP="00A44447">
      <w:pPr>
        <w:shd w:val="clear" w:color="auto" w:fill="FFFFFF"/>
        <w:tabs>
          <w:tab w:val="left" w:pos="540"/>
        </w:tabs>
        <w:spacing w:before="120" w:after="0" w:line="240" w:lineRule="auto"/>
        <w:jc w:val="both"/>
        <w:rPr>
          <w:rFonts w:ascii="Times New Roman" w:hAnsi="Times New Roman"/>
          <w:b/>
          <w:bCs/>
          <w:sz w:val="24"/>
          <w:szCs w:val="24"/>
          <w:lang w:val="nl-NL"/>
        </w:rPr>
      </w:pPr>
      <w:r w:rsidRPr="00A44447">
        <w:rPr>
          <w:rFonts w:ascii="Times New Roman" w:hAnsi="Times New Roman"/>
          <w:b/>
          <w:bCs/>
          <w:sz w:val="24"/>
          <w:szCs w:val="24"/>
          <w:lang w:val="nl-NL"/>
        </w:rPr>
        <w:t xml:space="preserve">6.2. </w:t>
      </w:r>
      <w:r w:rsidR="00BE1598" w:rsidRPr="00A44447">
        <w:rPr>
          <w:rFonts w:ascii="Times New Roman" w:hAnsi="Times New Roman"/>
          <w:b/>
          <w:bCs/>
          <w:sz w:val="24"/>
          <w:szCs w:val="24"/>
          <w:lang w:val="nl-NL"/>
        </w:rPr>
        <w:t>Người điều hành Quỹ</w:t>
      </w:r>
    </w:p>
    <w:tbl>
      <w:tblPr>
        <w:tblStyle w:val="TableGrid"/>
        <w:tblW w:w="9360" w:type="dxa"/>
        <w:tblInd w:w="355" w:type="dxa"/>
        <w:tblLook w:val="04A0" w:firstRow="1" w:lastRow="0" w:firstColumn="1" w:lastColumn="0" w:noHBand="0" w:noVBand="1"/>
      </w:tblPr>
      <w:tblGrid>
        <w:gridCol w:w="2970"/>
        <w:gridCol w:w="6390"/>
      </w:tblGrid>
      <w:tr w:rsidR="009E4A9A" w:rsidRPr="00A90AB7" w14:paraId="59D5C2CB" w14:textId="77777777" w:rsidTr="0083372E">
        <w:tc>
          <w:tcPr>
            <w:tcW w:w="2970" w:type="dxa"/>
          </w:tcPr>
          <w:p w14:paraId="4DCF4472" w14:textId="77777777" w:rsidR="009E4A9A" w:rsidRPr="007B27C8" w:rsidRDefault="009E4A9A" w:rsidP="009E4A9A">
            <w:pPr>
              <w:pStyle w:val="ListParagraph"/>
              <w:tabs>
                <w:tab w:val="left" w:pos="540"/>
              </w:tabs>
              <w:ind w:left="8" w:right="-104"/>
              <w:rPr>
                <w:rFonts w:ascii="Times New Roman" w:hAnsi="Times New Roman"/>
                <w:sz w:val="24"/>
                <w:szCs w:val="24"/>
                <w:lang w:val="nl-NL"/>
              </w:rPr>
            </w:pPr>
            <w:r w:rsidRPr="007B27C8">
              <w:rPr>
                <w:rFonts w:ascii="Times New Roman" w:hAnsi="Times New Roman"/>
                <w:b/>
                <w:bCs/>
                <w:iCs/>
                <w:sz w:val="24"/>
                <w:szCs w:val="24"/>
                <w:lang w:val="nl-NL"/>
              </w:rPr>
              <w:t>Ông</w:t>
            </w:r>
            <w:r w:rsidRPr="007B27C8">
              <w:rPr>
                <w:rFonts w:ascii="Times New Roman" w:hAnsi="Times New Roman"/>
                <w:sz w:val="24"/>
                <w:szCs w:val="24"/>
                <w:lang w:val="nl-NL"/>
              </w:rPr>
              <w:t xml:space="preserve"> </w:t>
            </w:r>
            <w:r w:rsidRPr="007B27C8">
              <w:rPr>
                <w:rFonts w:ascii="Times New Roman" w:hAnsi="Times New Roman"/>
                <w:b/>
                <w:sz w:val="24"/>
                <w:szCs w:val="24"/>
                <w:lang w:val="nl-NL"/>
              </w:rPr>
              <w:t>Đặng Nguyễn Trường Tài,</w:t>
            </w:r>
          </w:p>
          <w:p w14:paraId="33F3DDEF" w14:textId="1F2C92B8" w:rsidR="009E4A9A" w:rsidRPr="007B27C8" w:rsidRDefault="009E4A9A" w:rsidP="009E4A9A">
            <w:pPr>
              <w:pStyle w:val="ListParagraph"/>
              <w:tabs>
                <w:tab w:val="left" w:pos="540"/>
              </w:tabs>
              <w:spacing w:before="120" w:after="0" w:line="240" w:lineRule="auto"/>
              <w:ind w:left="0"/>
              <w:jc w:val="both"/>
              <w:rPr>
                <w:rFonts w:ascii="Times New Roman" w:hAnsi="Times New Roman"/>
                <w:sz w:val="24"/>
                <w:szCs w:val="24"/>
                <w:lang w:val="nl-NL"/>
              </w:rPr>
            </w:pPr>
            <w:r w:rsidRPr="007B27C8">
              <w:rPr>
                <w:rFonts w:ascii="Times New Roman" w:hAnsi="Times New Roman"/>
                <w:sz w:val="24"/>
                <w:szCs w:val="24"/>
                <w:lang w:val="nl-NL"/>
              </w:rPr>
              <w:t>Giám đốc Đầu tư</w:t>
            </w:r>
          </w:p>
        </w:tc>
        <w:tc>
          <w:tcPr>
            <w:tcW w:w="6390" w:type="dxa"/>
          </w:tcPr>
          <w:p w14:paraId="64B30002" w14:textId="77777777" w:rsidR="009E4A9A" w:rsidRPr="007B27C8" w:rsidRDefault="009E4A9A" w:rsidP="009E4A9A">
            <w:pPr>
              <w:pStyle w:val="ListParagraph"/>
              <w:tabs>
                <w:tab w:val="left" w:pos="540"/>
              </w:tabs>
              <w:ind w:left="0"/>
              <w:jc w:val="both"/>
              <w:rPr>
                <w:rFonts w:ascii="Times New Roman" w:hAnsi="Times New Roman"/>
                <w:b/>
                <w:i/>
                <w:sz w:val="24"/>
                <w:szCs w:val="24"/>
                <w:lang w:val="nl-NL"/>
              </w:rPr>
            </w:pPr>
            <w:r w:rsidRPr="007B27C8">
              <w:rPr>
                <w:rFonts w:ascii="Times New Roman" w:hAnsi="Times New Roman"/>
                <w:b/>
                <w:i/>
                <w:sz w:val="24"/>
                <w:szCs w:val="24"/>
                <w:lang w:val="nl-NL"/>
              </w:rPr>
              <w:t xml:space="preserve">Trình độ chuyên môn </w:t>
            </w:r>
          </w:p>
          <w:p w14:paraId="421438C6" w14:textId="77777777" w:rsidR="009E4A9A" w:rsidRPr="007B27C8"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Tài chính Doanh nghiệp, Đại học Kinh tế Thành phố Hồ Chí Minh;</w:t>
            </w:r>
          </w:p>
          <w:p w14:paraId="1CD2DAED" w14:textId="77777777" w:rsidR="009E4A9A" w:rsidRPr="007B27C8"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Thạc sỹ Quản trị Chương trình cao học Đại học UQAM (University of Quebec at Montreal, Canada);</w:t>
            </w:r>
          </w:p>
          <w:p w14:paraId="60256527" w14:textId="77777777" w:rsidR="009E4A9A" w:rsidRPr="007B27C8"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lastRenderedPageBreak/>
              <w:t>CFO của PACE phối hợp với Học viện Quản trị Tài chính Hoa Kỳ AAFM;</w:t>
            </w:r>
          </w:p>
          <w:p w14:paraId="15A665B5" w14:textId="77777777" w:rsidR="009E4A9A" w:rsidRPr="007B27C8"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Chứng chỉ hành nghề Quản lý Quỹ của Ủy ban Chứng khoán Nhà nước.</w:t>
            </w:r>
          </w:p>
          <w:p w14:paraId="2B9890BF" w14:textId="77777777" w:rsidR="009E4A9A" w:rsidRPr="007B27C8" w:rsidRDefault="009E4A9A" w:rsidP="009E4A9A">
            <w:pPr>
              <w:tabs>
                <w:tab w:val="left" w:pos="706"/>
              </w:tabs>
              <w:spacing w:before="120"/>
              <w:rPr>
                <w:rFonts w:ascii="Times New Roman" w:hAnsi="Times New Roman"/>
                <w:b/>
                <w:i/>
                <w:sz w:val="24"/>
                <w:szCs w:val="24"/>
                <w:lang w:val="nl-NL"/>
              </w:rPr>
            </w:pPr>
            <w:r w:rsidRPr="007B27C8">
              <w:rPr>
                <w:rFonts w:ascii="Times New Roman" w:hAnsi="Times New Roman"/>
                <w:b/>
                <w:i/>
                <w:sz w:val="24"/>
                <w:szCs w:val="24"/>
                <w:lang w:val="nl-NL"/>
              </w:rPr>
              <w:t>Kinh nghiệm làm việc</w:t>
            </w:r>
          </w:p>
          <w:p w14:paraId="4C7FB1D3" w14:textId="16F5A783" w:rsidR="009E4A9A" w:rsidRPr="007B27C8" w:rsidRDefault="009E4A9A" w:rsidP="009E4A9A">
            <w:pPr>
              <w:pStyle w:val="ListParagraph"/>
              <w:tabs>
                <w:tab w:val="left" w:pos="540"/>
              </w:tabs>
              <w:spacing w:before="120"/>
              <w:ind w:left="0"/>
              <w:jc w:val="both"/>
              <w:rPr>
                <w:rFonts w:ascii="Times New Roman" w:hAnsi="Times New Roman"/>
                <w:sz w:val="24"/>
                <w:szCs w:val="24"/>
                <w:lang w:val="nl-NL"/>
              </w:rPr>
            </w:pPr>
            <w:r w:rsidRPr="007B27C8">
              <w:rPr>
                <w:rFonts w:ascii="Times New Roman" w:hAnsi="Times New Roman"/>
                <w:sz w:val="24"/>
                <w:szCs w:val="24"/>
                <w:lang w:val="nl-NL"/>
              </w:rPr>
              <w:t xml:space="preserve">Ông có hơn mười lăm (15) năm làm việc trong lĩnh vực đầu tư, tài chính ngân hàng, trong đó có hơn mười (10) năm giữ chức vụ Phụ trách đầu tư cổ phiếu tại các Công ty: Công ty Quản lý Quỹ Nhân Việt, Công ty TNHH Bảo hiểm Nhân thọ Dai-ichi Việt Nam và Công ty TNHH Một Thành Viên Quản lý Quỹ Dai-ichi Life Việt Nam. </w:t>
            </w:r>
          </w:p>
        </w:tc>
      </w:tr>
      <w:tr w:rsidR="009E4A9A" w:rsidRPr="00A90AB7" w14:paraId="3AD01E93" w14:textId="77777777" w:rsidTr="0083372E">
        <w:tc>
          <w:tcPr>
            <w:tcW w:w="2970" w:type="dxa"/>
          </w:tcPr>
          <w:p w14:paraId="3EDF3A9D" w14:textId="77777777" w:rsidR="009E4A9A" w:rsidRPr="007B27C8" w:rsidRDefault="009E4A9A" w:rsidP="009E4A9A">
            <w:pPr>
              <w:pStyle w:val="ListParagraph"/>
              <w:tabs>
                <w:tab w:val="left" w:pos="540"/>
              </w:tabs>
              <w:ind w:left="8" w:right="-104"/>
              <w:rPr>
                <w:rFonts w:ascii="Times New Roman" w:hAnsi="Times New Roman"/>
                <w:sz w:val="24"/>
                <w:szCs w:val="24"/>
                <w:lang w:val="nl-NL"/>
              </w:rPr>
            </w:pPr>
            <w:r w:rsidRPr="007B27C8">
              <w:rPr>
                <w:rFonts w:ascii="Times New Roman" w:hAnsi="Times New Roman"/>
                <w:b/>
                <w:bCs/>
                <w:iCs/>
                <w:sz w:val="24"/>
                <w:szCs w:val="24"/>
                <w:lang w:val="nl-NL"/>
              </w:rPr>
              <w:lastRenderedPageBreak/>
              <w:t>Bà</w:t>
            </w:r>
            <w:r w:rsidRPr="007B27C8">
              <w:rPr>
                <w:rFonts w:ascii="Times New Roman" w:hAnsi="Times New Roman"/>
                <w:i/>
                <w:sz w:val="24"/>
                <w:szCs w:val="24"/>
                <w:lang w:val="nl-NL"/>
              </w:rPr>
              <w:t xml:space="preserve"> </w:t>
            </w:r>
            <w:r w:rsidRPr="007B27C8">
              <w:rPr>
                <w:rFonts w:ascii="Times New Roman" w:hAnsi="Times New Roman"/>
                <w:b/>
                <w:sz w:val="24"/>
                <w:szCs w:val="24"/>
                <w:lang w:val="nl-NL"/>
              </w:rPr>
              <w:t>Trần Thị Anh Trâm,</w:t>
            </w:r>
          </w:p>
          <w:p w14:paraId="14D87E7E" w14:textId="77777777" w:rsidR="009E4A9A" w:rsidRPr="007B27C8" w:rsidRDefault="009E4A9A" w:rsidP="009E4A9A">
            <w:pPr>
              <w:pStyle w:val="ListParagraph"/>
              <w:tabs>
                <w:tab w:val="left" w:pos="540"/>
              </w:tabs>
              <w:ind w:left="8" w:right="-104"/>
              <w:rPr>
                <w:rFonts w:ascii="Times New Roman" w:hAnsi="Times New Roman"/>
                <w:sz w:val="24"/>
                <w:szCs w:val="24"/>
                <w:lang w:val="nl-NL"/>
              </w:rPr>
            </w:pPr>
            <w:r w:rsidRPr="007B27C8">
              <w:rPr>
                <w:rFonts w:ascii="Times New Roman" w:hAnsi="Times New Roman"/>
                <w:sz w:val="24"/>
                <w:szCs w:val="24"/>
                <w:lang w:val="nl-NL"/>
              </w:rPr>
              <w:t xml:space="preserve">Trưởng phòng Cao cấp </w:t>
            </w:r>
          </w:p>
          <w:p w14:paraId="7E95BEBC" w14:textId="50795900" w:rsidR="009E4A9A" w:rsidRPr="007B27C8" w:rsidRDefault="009E4A9A" w:rsidP="009E4A9A">
            <w:pPr>
              <w:pStyle w:val="ListParagraph"/>
              <w:tabs>
                <w:tab w:val="left" w:pos="540"/>
              </w:tabs>
              <w:spacing w:before="120" w:after="0" w:line="240" w:lineRule="auto"/>
              <w:ind w:left="0"/>
              <w:jc w:val="both"/>
              <w:rPr>
                <w:rFonts w:ascii="Times New Roman" w:hAnsi="Times New Roman"/>
                <w:sz w:val="24"/>
                <w:szCs w:val="24"/>
                <w:lang w:val="nl-NL"/>
              </w:rPr>
            </w:pPr>
            <w:r w:rsidRPr="007B27C8">
              <w:rPr>
                <w:rFonts w:ascii="Times New Roman" w:hAnsi="Times New Roman"/>
                <w:sz w:val="24"/>
                <w:szCs w:val="24"/>
                <w:lang w:val="nl-NL"/>
              </w:rPr>
              <w:t>Bộ phận Nghiệp vụ Quản lý Quỹ</w:t>
            </w:r>
          </w:p>
        </w:tc>
        <w:tc>
          <w:tcPr>
            <w:tcW w:w="6390" w:type="dxa"/>
          </w:tcPr>
          <w:p w14:paraId="05FB0968" w14:textId="77777777" w:rsidR="009E4A9A" w:rsidRPr="007B27C8" w:rsidRDefault="009E4A9A" w:rsidP="009E4A9A">
            <w:pPr>
              <w:pStyle w:val="ListParagraph"/>
              <w:tabs>
                <w:tab w:val="left" w:pos="540"/>
              </w:tabs>
              <w:ind w:left="0"/>
              <w:jc w:val="both"/>
              <w:rPr>
                <w:rFonts w:ascii="Times New Roman" w:hAnsi="Times New Roman"/>
                <w:b/>
                <w:i/>
                <w:sz w:val="24"/>
                <w:szCs w:val="24"/>
                <w:lang w:val="nl-NL"/>
              </w:rPr>
            </w:pPr>
            <w:r w:rsidRPr="007B27C8">
              <w:rPr>
                <w:rFonts w:ascii="Times New Roman" w:hAnsi="Times New Roman"/>
                <w:b/>
                <w:i/>
                <w:sz w:val="24"/>
                <w:szCs w:val="24"/>
                <w:lang w:val="nl-NL"/>
              </w:rPr>
              <w:t xml:space="preserve">Trình độ chuyên môn </w:t>
            </w:r>
          </w:p>
          <w:p w14:paraId="0AA49DC5" w14:textId="77777777" w:rsidR="009E4A9A" w:rsidRPr="007B27C8"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Luật, Đại học Luật Thành phố Hồ Chí Minh;</w:t>
            </w:r>
          </w:p>
          <w:p w14:paraId="684550E0" w14:textId="77777777" w:rsidR="009E4A9A" w:rsidRPr="007B27C8"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chuyên ngành Kế toán-Kiểm toán, Đại học Văn Lang;</w:t>
            </w:r>
          </w:p>
          <w:p w14:paraId="463C9810" w14:textId="77777777" w:rsidR="009E4A9A" w:rsidRPr="007B27C8"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Chứng chỉ hành nghề Quản lý Quỹ của Ủy ban Chứng khoán Nhà nước.</w:t>
            </w:r>
          </w:p>
          <w:p w14:paraId="1DA26CDD" w14:textId="77777777" w:rsidR="009E4A9A" w:rsidRPr="007B27C8" w:rsidRDefault="009E4A9A" w:rsidP="009E4A9A">
            <w:pPr>
              <w:tabs>
                <w:tab w:val="left" w:pos="706"/>
              </w:tabs>
              <w:spacing w:before="120"/>
              <w:rPr>
                <w:rFonts w:ascii="Times New Roman" w:hAnsi="Times New Roman"/>
                <w:b/>
                <w:i/>
                <w:sz w:val="24"/>
                <w:szCs w:val="24"/>
                <w:lang w:val="nl-NL"/>
              </w:rPr>
            </w:pPr>
            <w:r w:rsidRPr="007B27C8">
              <w:rPr>
                <w:rFonts w:ascii="Times New Roman" w:hAnsi="Times New Roman"/>
                <w:b/>
                <w:i/>
                <w:sz w:val="24"/>
                <w:szCs w:val="24"/>
                <w:lang w:val="nl-NL"/>
              </w:rPr>
              <w:t>Kinh nghiệm làm việc</w:t>
            </w:r>
          </w:p>
          <w:p w14:paraId="48853F09" w14:textId="7B3725F6" w:rsidR="009E4A9A" w:rsidRPr="007B27C8" w:rsidRDefault="009E4A9A" w:rsidP="009E4A9A">
            <w:pPr>
              <w:spacing w:before="120"/>
              <w:rPr>
                <w:rFonts w:ascii="Times New Roman" w:hAnsi="Times New Roman"/>
                <w:sz w:val="24"/>
                <w:szCs w:val="24"/>
                <w:lang w:val="nl-NL"/>
              </w:rPr>
            </w:pPr>
            <w:r w:rsidRPr="007B27C8">
              <w:rPr>
                <w:rFonts w:ascii="Times New Roman" w:hAnsi="Times New Roman"/>
                <w:sz w:val="24"/>
                <w:szCs w:val="24"/>
                <w:lang w:val="nl-NL"/>
              </w:rPr>
              <w:t>Trên mười bốn (14) năm làm việc trong lĩnh vực tài chính kế toán và đầu tư. Trong đó có hơn mười (10) năm kinh nghiệm quản lý tài sản tại các Công ty: Công ty TNHH Một Thành Viên Quản lý Quỹ Dai-ichi Life Việt Nam và Công ty TNHH Bảo hiểm Nhân thọ Dai-ichi Việt Nam.</w:t>
            </w:r>
          </w:p>
        </w:tc>
      </w:tr>
    </w:tbl>
    <w:p w14:paraId="3B9AB041" w14:textId="0F8EEF88" w:rsidR="00BE1598" w:rsidRPr="00A44447" w:rsidRDefault="00A44447" w:rsidP="00A44447">
      <w:pPr>
        <w:shd w:val="clear" w:color="auto" w:fill="FFFFFF"/>
        <w:tabs>
          <w:tab w:val="left" w:pos="540"/>
        </w:tabs>
        <w:spacing w:before="120" w:after="0" w:line="240" w:lineRule="auto"/>
        <w:jc w:val="both"/>
        <w:rPr>
          <w:rFonts w:ascii="Times New Roman" w:hAnsi="Times New Roman"/>
          <w:b/>
          <w:bCs/>
          <w:sz w:val="24"/>
          <w:szCs w:val="24"/>
          <w:lang w:val="nl-NL"/>
        </w:rPr>
      </w:pPr>
      <w:r w:rsidRPr="00A44447">
        <w:rPr>
          <w:rFonts w:ascii="Times New Roman" w:hAnsi="Times New Roman"/>
          <w:b/>
          <w:bCs/>
          <w:sz w:val="24"/>
          <w:szCs w:val="24"/>
          <w:lang w:val="nl-NL"/>
        </w:rPr>
        <w:t xml:space="preserve">6.3. </w:t>
      </w:r>
      <w:r w:rsidR="004C7F20" w:rsidRPr="00A44447">
        <w:rPr>
          <w:rFonts w:ascii="Times New Roman" w:hAnsi="Times New Roman"/>
          <w:b/>
          <w:bCs/>
          <w:sz w:val="24"/>
          <w:szCs w:val="24"/>
          <w:lang w:val="nl-NL"/>
        </w:rPr>
        <w:t>Ban Đại diện Quỹ</w:t>
      </w:r>
    </w:p>
    <w:tbl>
      <w:tblPr>
        <w:tblStyle w:val="TableGrid"/>
        <w:tblW w:w="9360" w:type="dxa"/>
        <w:tblInd w:w="355" w:type="dxa"/>
        <w:tblLook w:val="04A0" w:firstRow="1" w:lastRow="0" w:firstColumn="1" w:lastColumn="0" w:noHBand="0" w:noVBand="1"/>
      </w:tblPr>
      <w:tblGrid>
        <w:gridCol w:w="2970"/>
        <w:gridCol w:w="6390"/>
      </w:tblGrid>
      <w:tr w:rsidR="009E4A9A" w:rsidRPr="00A90AB7" w14:paraId="73433A03" w14:textId="77777777" w:rsidTr="006E2436">
        <w:tc>
          <w:tcPr>
            <w:tcW w:w="2970" w:type="dxa"/>
          </w:tcPr>
          <w:p w14:paraId="63B8A743" w14:textId="77777777" w:rsidR="009E4A9A" w:rsidRPr="00DF533C" w:rsidRDefault="009E4A9A" w:rsidP="009E4A9A">
            <w:pPr>
              <w:spacing w:after="0"/>
              <w:rPr>
                <w:rFonts w:ascii="Times New Roman" w:hAnsi="Times New Roman"/>
                <w:b/>
                <w:bCs/>
                <w:iCs/>
                <w:sz w:val="24"/>
                <w:szCs w:val="24"/>
                <w:lang w:val="nl-NL"/>
              </w:rPr>
            </w:pPr>
            <w:r w:rsidRPr="00DF533C">
              <w:rPr>
                <w:rFonts w:ascii="Times New Roman" w:hAnsi="Times New Roman"/>
                <w:b/>
                <w:bCs/>
                <w:iCs/>
                <w:sz w:val="24"/>
                <w:szCs w:val="24"/>
                <w:lang w:val="nl-NL"/>
              </w:rPr>
              <w:t>Ông Đỗ Hùng Việt</w:t>
            </w:r>
          </w:p>
          <w:p w14:paraId="0FBFF604" w14:textId="3DF5AC40" w:rsidR="009E4A9A" w:rsidRPr="00A90AB7" w:rsidRDefault="009E4A9A" w:rsidP="009E4A9A">
            <w:pPr>
              <w:spacing w:before="120" w:after="120"/>
              <w:jc w:val="both"/>
              <w:rPr>
                <w:rFonts w:ascii="Times New Roman" w:hAnsi="Times New Roman"/>
                <w:sz w:val="24"/>
                <w:szCs w:val="24"/>
              </w:rPr>
            </w:pPr>
            <w:r w:rsidRPr="00DF533C">
              <w:rPr>
                <w:rFonts w:ascii="Times New Roman" w:hAnsi="Times New Roman"/>
                <w:sz w:val="24"/>
                <w:szCs w:val="24"/>
                <w:lang w:val="nl-NL"/>
              </w:rPr>
              <w:t>Chủ tịch</w:t>
            </w:r>
          </w:p>
        </w:tc>
        <w:tc>
          <w:tcPr>
            <w:tcW w:w="6390" w:type="dxa"/>
          </w:tcPr>
          <w:p w14:paraId="22616B92" w14:textId="77777777" w:rsidR="009E4A9A" w:rsidRPr="00DF533C" w:rsidRDefault="009E4A9A" w:rsidP="009E4A9A">
            <w:pPr>
              <w:spacing w:before="120"/>
              <w:rPr>
                <w:rFonts w:ascii="Times New Roman" w:hAnsi="Times New Roman"/>
                <w:sz w:val="24"/>
                <w:szCs w:val="24"/>
                <w:lang w:val="nl-NL"/>
              </w:rPr>
            </w:pPr>
            <w:r w:rsidRPr="00DF533C">
              <w:rPr>
                <w:rFonts w:ascii="Times New Roman" w:hAnsi="Times New Roman"/>
                <w:sz w:val="24"/>
                <w:szCs w:val="24"/>
                <w:lang w:val="nl-NL"/>
              </w:rPr>
              <w:t>Ông đã có hơn hai mươi (20) năm kinh nghiệm ở nhiều vị trí quản lý trong lĩnh vực tài chính, chứng khoán, đầu tư.</w:t>
            </w:r>
          </w:p>
          <w:p w14:paraId="0B130213" w14:textId="0E68862D" w:rsidR="009E4A9A" w:rsidRPr="00A90AB7" w:rsidRDefault="009E4A9A" w:rsidP="009E4A9A">
            <w:pPr>
              <w:spacing w:before="120" w:after="120"/>
              <w:jc w:val="both"/>
              <w:rPr>
                <w:rFonts w:ascii="Times New Roman" w:hAnsi="Times New Roman"/>
                <w:sz w:val="24"/>
                <w:szCs w:val="24"/>
              </w:rPr>
            </w:pPr>
            <w:r w:rsidRPr="00DF533C">
              <w:rPr>
                <w:rFonts w:ascii="Times New Roman" w:hAnsi="Times New Roman"/>
                <w:sz w:val="24"/>
                <w:szCs w:val="24"/>
                <w:lang w:val="nl-NL"/>
              </w:rPr>
              <w:t xml:space="preserve"> Ông từng là Chủ tịch Hội đồng Quản trị, Công ty Chứng khoán Thành phố Hồ Chí Minh (“HSC”). Trước đó, ông đã từng giữ cương vị Phó Chủ tịch Hội đồng Quản trị, Tổng Giám đốc HSC và Phó Chủ tịch Hiệp hội Kinh doanh Chứng khoán Việt Nam (“VASB”). Trước khi gia nhập HSC, ông đã có bốn (4) năm làm việc tại Quỹ Đầu tư Phát triển Đô thị Thành phố Hồ Chí Minh (“HIFU”) với vị trí Trưởng phòng ủy thác.</w:t>
            </w:r>
          </w:p>
        </w:tc>
      </w:tr>
      <w:tr w:rsidR="009E4A9A" w:rsidRPr="00A90AB7" w14:paraId="288605CE" w14:textId="77777777" w:rsidTr="006E2436">
        <w:tc>
          <w:tcPr>
            <w:tcW w:w="2970" w:type="dxa"/>
          </w:tcPr>
          <w:p w14:paraId="4918B24A" w14:textId="77777777" w:rsidR="009E4A9A" w:rsidRPr="00DF533C" w:rsidRDefault="009E4A9A" w:rsidP="009E4A9A">
            <w:pPr>
              <w:spacing w:after="0"/>
              <w:rPr>
                <w:rFonts w:ascii="Times New Roman" w:hAnsi="Times New Roman"/>
                <w:b/>
                <w:bCs/>
                <w:iCs/>
                <w:sz w:val="24"/>
                <w:szCs w:val="24"/>
                <w:lang w:val="nl-NL"/>
              </w:rPr>
            </w:pPr>
            <w:r w:rsidRPr="00DF533C">
              <w:rPr>
                <w:rFonts w:ascii="Times New Roman" w:hAnsi="Times New Roman"/>
                <w:b/>
                <w:bCs/>
                <w:iCs/>
                <w:sz w:val="24"/>
                <w:szCs w:val="24"/>
                <w:lang w:val="nl-NL"/>
              </w:rPr>
              <w:t>Ông Huỳnh Văn Dũng</w:t>
            </w:r>
          </w:p>
          <w:p w14:paraId="54992C26" w14:textId="537C9FAB" w:rsidR="009E4A9A" w:rsidRPr="00A90AB7" w:rsidRDefault="009E4A9A" w:rsidP="009E4A9A">
            <w:pPr>
              <w:spacing w:before="120" w:after="120"/>
              <w:jc w:val="both"/>
              <w:rPr>
                <w:rFonts w:ascii="Times New Roman" w:hAnsi="Times New Roman"/>
                <w:sz w:val="24"/>
                <w:szCs w:val="24"/>
              </w:rPr>
            </w:pPr>
            <w:r w:rsidRPr="00DF533C">
              <w:rPr>
                <w:rFonts w:ascii="Times New Roman" w:hAnsi="Times New Roman"/>
                <w:iCs/>
                <w:sz w:val="24"/>
                <w:szCs w:val="24"/>
                <w:lang w:val="nl-NL"/>
              </w:rPr>
              <w:t>Thành viên</w:t>
            </w:r>
          </w:p>
        </w:tc>
        <w:tc>
          <w:tcPr>
            <w:tcW w:w="6390" w:type="dxa"/>
          </w:tcPr>
          <w:p w14:paraId="5C12E9E9" w14:textId="77777777" w:rsidR="009E4A9A" w:rsidRPr="00DF533C" w:rsidRDefault="009E4A9A" w:rsidP="009E4A9A">
            <w:pPr>
              <w:spacing w:before="120"/>
              <w:rPr>
                <w:rFonts w:ascii="Times New Roman" w:hAnsi="Times New Roman"/>
                <w:sz w:val="24"/>
                <w:szCs w:val="24"/>
                <w:lang w:val="nl-NL"/>
              </w:rPr>
            </w:pPr>
            <w:r w:rsidRPr="00DF533C">
              <w:rPr>
                <w:rFonts w:ascii="Times New Roman" w:hAnsi="Times New Roman"/>
                <w:sz w:val="24"/>
                <w:szCs w:val="24"/>
                <w:lang w:val="nl-NL"/>
              </w:rPr>
              <w:t>Ông đã có hơn hai mươi (20) năm kinh nghiệm làm việc trong lĩnh vực kiểm toán và cung cấp dịch vụ chuyên ngành trong lĩnh vực kiểm toán.</w:t>
            </w:r>
          </w:p>
          <w:p w14:paraId="5CA476AB" w14:textId="77777777" w:rsidR="009E4A9A" w:rsidRPr="00DF533C" w:rsidRDefault="009E4A9A" w:rsidP="009E4A9A">
            <w:pPr>
              <w:rPr>
                <w:rFonts w:ascii="Times New Roman" w:hAnsi="Times New Roman"/>
                <w:sz w:val="24"/>
                <w:szCs w:val="24"/>
                <w:lang w:val="nl-NL"/>
              </w:rPr>
            </w:pPr>
            <w:r w:rsidRPr="00DF533C">
              <w:rPr>
                <w:rFonts w:ascii="Times New Roman" w:hAnsi="Times New Roman"/>
                <w:sz w:val="24"/>
                <w:szCs w:val="24"/>
                <w:lang w:val="nl-NL"/>
              </w:rPr>
              <w:lastRenderedPageBreak/>
              <w:t>Ông hiện đang là Phó Tổng Giám đốc, Giám đốc Chi nhánh Thành phố Hồ Chí Minh - Công ty TNHH Kiểm toán và Định giá Việt Nam (“VAE”). Ông đã có thời gian đảm nhiệm cương vị Giám đốc của Công ty TNHH Kiểm toán và Tư vấn An Việt; và đã từng là Chủ nhiệm Kiểm toán cao cấp của VACO – Deloitte JV.</w:t>
            </w:r>
          </w:p>
          <w:p w14:paraId="38EAF356" w14:textId="2C6974F5" w:rsidR="009E4A9A" w:rsidRPr="00A90AB7" w:rsidRDefault="009E4A9A" w:rsidP="009E4A9A">
            <w:pPr>
              <w:spacing w:before="120" w:after="120"/>
              <w:jc w:val="both"/>
              <w:rPr>
                <w:rFonts w:ascii="Times New Roman" w:hAnsi="Times New Roman"/>
                <w:sz w:val="24"/>
                <w:szCs w:val="24"/>
              </w:rPr>
            </w:pPr>
            <w:r w:rsidRPr="00DF533C">
              <w:rPr>
                <w:rFonts w:ascii="Times New Roman" w:hAnsi="Times New Roman"/>
                <w:sz w:val="24"/>
                <w:szCs w:val="24"/>
                <w:lang w:val="nl-NL"/>
              </w:rPr>
              <w:t xml:space="preserve">Ông có Chứng chỉ Kiểm toán viên quốc gia (“CPA”), là thành viên Hội Kiểm toán Hành nghề Việt Nam (“VACPA”), thành viên Hội Kế toán Kiểm toán Việt Nam (“VAA”) và thành viên Hội tư vấn Thuế Việt Nam (“VTCA”). </w:t>
            </w:r>
          </w:p>
        </w:tc>
      </w:tr>
      <w:tr w:rsidR="009E4A9A" w:rsidRPr="00A90AB7" w14:paraId="1FAC4175" w14:textId="77777777" w:rsidTr="006E2436">
        <w:tc>
          <w:tcPr>
            <w:tcW w:w="2970" w:type="dxa"/>
          </w:tcPr>
          <w:p w14:paraId="1D774EB6" w14:textId="77777777" w:rsidR="009E4A9A" w:rsidRPr="00DF533C" w:rsidRDefault="009E4A9A" w:rsidP="009E4A9A">
            <w:pPr>
              <w:spacing w:after="0"/>
              <w:ind w:right="-152"/>
              <w:rPr>
                <w:rFonts w:ascii="Times New Roman" w:hAnsi="Times New Roman"/>
                <w:b/>
                <w:bCs/>
                <w:iCs/>
                <w:sz w:val="24"/>
                <w:szCs w:val="24"/>
              </w:rPr>
            </w:pPr>
            <w:proofErr w:type="spellStart"/>
            <w:r w:rsidRPr="00DF533C">
              <w:rPr>
                <w:rFonts w:ascii="Times New Roman" w:hAnsi="Times New Roman"/>
                <w:b/>
                <w:bCs/>
                <w:iCs/>
                <w:sz w:val="24"/>
                <w:szCs w:val="24"/>
              </w:rPr>
              <w:lastRenderedPageBreak/>
              <w:t>Ông</w:t>
            </w:r>
            <w:proofErr w:type="spellEnd"/>
            <w:r w:rsidRPr="00DF533C">
              <w:rPr>
                <w:rFonts w:ascii="Times New Roman" w:hAnsi="Times New Roman"/>
                <w:b/>
                <w:bCs/>
                <w:iCs/>
                <w:sz w:val="24"/>
                <w:szCs w:val="24"/>
              </w:rPr>
              <w:t xml:space="preserve"> Nguyễn Gia Huy </w:t>
            </w:r>
            <w:proofErr w:type="spellStart"/>
            <w:r w:rsidRPr="00DF533C">
              <w:rPr>
                <w:rFonts w:ascii="Times New Roman" w:hAnsi="Times New Roman"/>
                <w:b/>
                <w:bCs/>
                <w:iCs/>
                <w:sz w:val="24"/>
                <w:szCs w:val="24"/>
              </w:rPr>
              <w:t>Chương</w:t>
            </w:r>
            <w:proofErr w:type="spellEnd"/>
          </w:p>
          <w:p w14:paraId="7925ECAC" w14:textId="051361E1" w:rsidR="009E4A9A" w:rsidRPr="00A90AB7" w:rsidRDefault="009E4A9A" w:rsidP="009E4A9A">
            <w:pPr>
              <w:spacing w:before="120" w:after="120"/>
              <w:jc w:val="both"/>
              <w:rPr>
                <w:rFonts w:ascii="Times New Roman" w:hAnsi="Times New Roman"/>
                <w:sz w:val="24"/>
                <w:szCs w:val="24"/>
              </w:rPr>
            </w:pPr>
            <w:r w:rsidRPr="00DF533C">
              <w:rPr>
                <w:rFonts w:ascii="Times New Roman" w:hAnsi="Times New Roman"/>
                <w:iCs/>
                <w:sz w:val="24"/>
                <w:szCs w:val="24"/>
              </w:rPr>
              <w:t xml:space="preserve">Thành </w:t>
            </w:r>
            <w:proofErr w:type="spellStart"/>
            <w:r w:rsidRPr="00DF533C">
              <w:rPr>
                <w:rFonts w:ascii="Times New Roman" w:hAnsi="Times New Roman"/>
                <w:iCs/>
                <w:sz w:val="24"/>
                <w:szCs w:val="24"/>
              </w:rPr>
              <w:t>viên</w:t>
            </w:r>
            <w:proofErr w:type="spellEnd"/>
          </w:p>
        </w:tc>
        <w:tc>
          <w:tcPr>
            <w:tcW w:w="6390" w:type="dxa"/>
          </w:tcPr>
          <w:p w14:paraId="0946308B" w14:textId="77777777" w:rsidR="009E4A9A" w:rsidRPr="00DF533C" w:rsidRDefault="009E4A9A" w:rsidP="009E4A9A">
            <w:pPr>
              <w:spacing w:before="120"/>
              <w:rPr>
                <w:rFonts w:ascii="Times New Roman" w:hAnsi="Times New Roman"/>
                <w:sz w:val="24"/>
                <w:szCs w:val="24"/>
              </w:rPr>
            </w:pP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mươi</w:t>
            </w:r>
            <w:proofErr w:type="spellEnd"/>
            <w:r w:rsidRPr="00DF533C">
              <w:rPr>
                <w:rFonts w:ascii="Times New Roman" w:hAnsi="Times New Roman"/>
                <w:sz w:val="24"/>
                <w:szCs w:val="24"/>
              </w:rPr>
              <w:t xml:space="preserve"> (20) </w:t>
            </w:r>
            <w:proofErr w:type="spellStart"/>
            <w:r w:rsidRPr="00DF533C">
              <w:rPr>
                <w:rFonts w:ascii="Times New Roman" w:hAnsi="Times New Roman"/>
                <w:sz w:val="24"/>
                <w:szCs w:val="24"/>
              </w:rPr>
              <w:t>năm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kinh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về</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doanh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thuế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sản</w:t>
            </w:r>
            <w:proofErr w:type="spellEnd"/>
            <w:r w:rsidRPr="00DF533C">
              <w:rPr>
                <w:rFonts w:ascii="Times New Roman" w:hAnsi="Times New Roman"/>
                <w:sz w:val="24"/>
                <w:szCs w:val="24"/>
              </w:rPr>
              <w:t xml:space="preserve">. Công </w:t>
            </w:r>
            <w:proofErr w:type="spellStart"/>
            <w:r w:rsidRPr="00DF533C">
              <w:rPr>
                <w:rFonts w:ascii="Times New Roman" w:hAnsi="Times New Roman"/>
                <w:sz w:val="24"/>
                <w:szCs w:val="24"/>
              </w:rPr>
              <w:t>việc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chủ</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yếu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trong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lĩnh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về</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doanh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mua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bán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sáp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nhập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mở</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rộng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mục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khách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đến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lĩnh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chuyên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môn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nghỉ</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dưỡng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xây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tài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chính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nghệ</w:t>
            </w:r>
            <w:proofErr w:type="spellEnd"/>
            <w:r w:rsidRPr="00DF533C">
              <w:rPr>
                <w:rFonts w:ascii="Times New Roman" w:hAnsi="Times New Roman"/>
                <w:sz w:val="24"/>
                <w:szCs w:val="24"/>
              </w:rPr>
              <w:t xml:space="preserve">, y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ẩm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đồ</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uống</w:t>
            </w:r>
            <w:proofErr w:type="spellEnd"/>
            <w:r w:rsidRPr="00DF533C">
              <w:rPr>
                <w:rFonts w:ascii="Times New Roman" w:hAnsi="Times New Roman"/>
                <w:sz w:val="24"/>
                <w:szCs w:val="24"/>
              </w:rPr>
              <w:t xml:space="preserve"> (“F&amp;B”), </w:t>
            </w:r>
            <w:proofErr w:type="spellStart"/>
            <w:r w:rsidRPr="00DF533C">
              <w:rPr>
                <w:rFonts w:ascii="Times New Roman" w:hAnsi="Times New Roman"/>
                <w:sz w:val="24"/>
                <w:szCs w:val="24"/>
              </w:rPr>
              <w:t>quản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lý</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cảng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vận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tải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viễn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thông</w:t>
            </w:r>
            <w:proofErr w:type="spellEnd"/>
            <w:r w:rsidRPr="00DF533C">
              <w:rPr>
                <w:rFonts w:ascii="Times New Roman" w:hAnsi="Times New Roman"/>
                <w:sz w:val="24"/>
                <w:szCs w:val="24"/>
              </w:rPr>
              <w:t>.</w:t>
            </w:r>
          </w:p>
          <w:p w14:paraId="64C0FB0B" w14:textId="77777777" w:rsidR="009E4A9A" w:rsidRPr="00DF533C" w:rsidRDefault="009E4A9A" w:rsidP="009E4A9A">
            <w:pPr>
              <w:rPr>
                <w:rFonts w:ascii="Times New Roman" w:hAnsi="Times New Roman"/>
                <w:sz w:val="24"/>
                <w:szCs w:val="24"/>
              </w:rPr>
            </w:pPr>
            <w:proofErr w:type="spellStart"/>
            <w:r w:rsidRPr="00DF533C">
              <w:rPr>
                <w:rFonts w:ascii="Times New Roman" w:hAnsi="Times New Roman"/>
                <w:sz w:val="24"/>
                <w:szCs w:val="24"/>
              </w:rPr>
              <w:t>Hiện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đang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đóng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trò</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điều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Global Vietnam Lawyers LLC (“GV Lawyers”), </w:t>
            </w:r>
            <w:proofErr w:type="spellStart"/>
            <w:r w:rsidRPr="00DF533C">
              <w:rPr>
                <w:rFonts w:ascii="Times New Roman" w:hAnsi="Times New Roman"/>
                <w:sz w:val="24"/>
                <w:szCs w:val="24"/>
              </w:rPr>
              <w:t>một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quốc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được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lập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gần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bởi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một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nhóm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tận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tâm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giàu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kinh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những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người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tạo</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đẩy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mạnh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sự</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mình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đầu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Việt Nam. Trong </w:t>
            </w:r>
            <w:proofErr w:type="spellStart"/>
            <w:r w:rsidRPr="00DF533C">
              <w:rPr>
                <w:rFonts w:ascii="Times New Roman" w:hAnsi="Times New Roman"/>
                <w:sz w:val="24"/>
                <w:szCs w:val="24"/>
              </w:rPr>
              <w:t>đó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gần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Công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Phước</w:t>
            </w:r>
            <w:proofErr w:type="spellEnd"/>
            <w:r w:rsidRPr="00DF533C">
              <w:rPr>
                <w:rFonts w:ascii="Times New Roman" w:hAnsi="Times New Roman"/>
                <w:sz w:val="24"/>
                <w:szCs w:val="24"/>
              </w:rPr>
              <w:t xml:space="preserve"> &amp; Các </w:t>
            </w:r>
            <w:proofErr w:type="spellStart"/>
            <w:r w:rsidRPr="00DF533C">
              <w:rPr>
                <w:rFonts w:ascii="Times New Roman" w:hAnsi="Times New Roman"/>
                <w:sz w:val="24"/>
                <w:szCs w:val="24"/>
              </w:rPr>
              <w:t>Cộng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sự</w:t>
            </w:r>
            <w:proofErr w:type="spellEnd"/>
            <w:r w:rsidRPr="00DF533C">
              <w:rPr>
                <w:rFonts w:ascii="Times New Roman" w:hAnsi="Times New Roman"/>
                <w:sz w:val="24"/>
                <w:szCs w:val="24"/>
              </w:rPr>
              <w:t xml:space="preserve"> (“Phuoc &amp; Partners”).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hơn</w:t>
            </w:r>
            <w:proofErr w:type="spellEnd"/>
            <w:r w:rsidRPr="00DF533C">
              <w:rPr>
                <w:rFonts w:ascii="Times New Roman" w:hAnsi="Times New Roman"/>
                <w:sz w:val="24"/>
                <w:szCs w:val="24"/>
              </w:rPr>
              <w:t xml:space="preserve"> 10 </w:t>
            </w:r>
            <w:proofErr w:type="spellStart"/>
            <w:r w:rsidRPr="00DF533C">
              <w:rPr>
                <w:rFonts w:ascii="Times New Roman" w:hAnsi="Times New Roman"/>
                <w:sz w:val="24"/>
                <w:szCs w:val="24"/>
              </w:rPr>
              <w:t>năm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liên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tục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trong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trò</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Giám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điều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Phuoc &amp; Partners. </w:t>
            </w:r>
          </w:p>
          <w:p w14:paraId="5C4A0B9C" w14:textId="5A6BB7D3" w:rsidR="009E4A9A" w:rsidRPr="00A90AB7" w:rsidRDefault="009E4A9A" w:rsidP="009E4A9A">
            <w:pPr>
              <w:spacing w:before="120" w:after="120"/>
              <w:jc w:val="both"/>
              <w:rPr>
                <w:rFonts w:ascii="Times New Roman" w:hAnsi="Times New Roman"/>
                <w:sz w:val="24"/>
                <w:szCs w:val="24"/>
              </w:rPr>
            </w:pP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sĩ</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chuyên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Thương </w:t>
            </w:r>
            <w:proofErr w:type="spellStart"/>
            <w:r w:rsidRPr="00DF533C">
              <w:rPr>
                <w:rFonts w:ascii="Times New Roman" w:hAnsi="Times New Roman"/>
                <w:sz w:val="24"/>
                <w:szCs w:val="24"/>
              </w:rPr>
              <w:t>mại</w:t>
            </w:r>
            <w:proofErr w:type="spellEnd"/>
            <w:r w:rsidRPr="00DF533C">
              <w:rPr>
                <w:rFonts w:ascii="Times New Roman" w:hAnsi="Times New Roman"/>
                <w:sz w:val="24"/>
                <w:szCs w:val="24"/>
              </w:rPr>
              <w:t xml:space="preserve"> Quốc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Trường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Bristol Law School, </w:t>
            </w:r>
            <w:proofErr w:type="spellStart"/>
            <w:r w:rsidRPr="00DF533C">
              <w:rPr>
                <w:rFonts w:ascii="Times New Roman" w:hAnsi="Times New Roman"/>
                <w:sz w:val="24"/>
                <w:szCs w:val="24"/>
              </w:rPr>
              <w:t>Đại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học</w:t>
            </w:r>
            <w:proofErr w:type="spellEnd"/>
            <w:r w:rsidRPr="00DF533C">
              <w:rPr>
                <w:rFonts w:ascii="Times New Roman" w:hAnsi="Times New Roman"/>
                <w:sz w:val="24"/>
                <w:szCs w:val="24"/>
              </w:rPr>
              <w:t xml:space="preserve"> UWE Bristol, UK;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viên</w:t>
            </w:r>
            <w:proofErr w:type="spellEnd"/>
            <w:r w:rsidRPr="00DF533C">
              <w:rPr>
                <w:rFonts w:ascii="Times New Roman" w:hAnsi="Times New Roman"/>
                <w:sz w:val="24"/>
                <w:szCs w:val="24"/>
              </w:rPr>
              <w:t xml:space="preserve"> Đoàn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Thành </w:t>
            </w:r>
            <w:proofErr w:type="spellStart"/>
            <w:r w:rsidRPr="00DF533C">
              <w:rPr>
                <w:rFonts w:ascii="Times New Roman" w:hAnsi="Times New Roman"/>
                <w:sz w:val="24"/>
                <w:szCs w:val="24"/>
              </w:rPr>
              <w:t>phố</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Hồ</w:t>
            </w:r>
            <w:proofErr w:type="spellEnd"/>
            <w:r w:rsidRPr="00DF533C">
              <w:rPr>
                <w:rFonts w:ascii="Times New Roman" w:hAnsi="Times New Roman"/>
                <w:sz w:val="24"/>
                <w:szCs w:val="24"/>
              </w:rPr>
              <w:t xml:space="preserve"> Chí Minh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hội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Châu Á Thái Bình Dương.</w:t>
            </w:r>
          </w:p>
        </w:tc>
      </w:tr>
    </w:tbl>
    <w:p w14:paraId="0B24B535" w14:textId="26884BE5" w:rsidR="00394460" w:rsidRPr="00335F45" w:rsidRDefault="00394460" w:rsidP="00315A8E">
      <w:pPr>
        <w:tabs>
          <w:tab w:val="left" w:pos="540"/>
        </w:tabs>
        <w:spacing w:before="120"/>
        <w:jc w:val="right"/>
        <w:rPr>
          <w:rFonts w:ascii="Times New Roman" w:eastAsia="Times New Roman" w:hAnsi="Times New Roman"/>
          <w:i/>
          <w:lang w:val="nl-NL"/>
        </w:rPr>
      </w:pPr>
      <w:r w:rsidRPr="00335F45">
        <w:rPr>
          <w:rFonts w:ascii="Times New Roman" w:eastAsia="Times New Roman" w:hAnsi="Times New Roman"/>
          <w:i/>
          <w:lang w:val="nl-NL"/>
        </w:rPr>
        <w:t>T</w:t>
      </w:r>
      <w:r w:rsidR="00A474F7" w:rsidRPr="00335F45">
        <w:rPr>
          <w:rFonts w:ascii="Times New Roman" w:eastAsia="Times New Roman" w:hAnsi="Times New Roman"/>
          <w:i/>
          <w:lang w:val="nl-NL"/>
        </w:rPr>
        <w:t>p</w:t>
      </w:r>
      <w:r w:rsidR="00E0018A" w:rsidRPr="00335F45">
        <w:rPr>
          <w:rFonts w:ascii="Times New Roman" w:eastAsia="Times New Roman" w:hAnsi="Times New Roman"/>
          <w:i/>
          <w:lang w:val="nl-NL"/>
        </w:rPr>
        <w:t>,</w:t>
      </w:r>
      <w:r w:rsidRPr="00335F45">
        <w:rPr>
          <w:rFonts w:ascii="Times New Roman" w:eastAsia="Times New Roman" w:hAnsi="Times New Roman"/>
          <w:i/>
          <w:lang w:val="nl-NL"/>
        </w:rPr>
        <w:t xml:space="preserve"> Hồ Chí Minh, ngày </w:t>
      </w:r>
      <w:r w:rsidR="00EF226D" w:rsidRPr="00335F45">
        <w:rPr>
          <w:rFonts w:ascii="Times New Roman" w:eastAsia="Times New Roman" w:hAnsi="Times New Roman"/>
          <w:i/>
          <w:lang w:val="nl-NL"/>
        </w:rPr>
        <w:t>1</w:t>
      </w:r>
      <w:r w:rsidR="00C31909">
        <w:rPr>
          <w:rFonts w:ascii="Times New Roman" w:eastAsia="Times New Roman" w:hAnsi="Times New Roman"/>
          <w:i/>
          <w:lang w:val="nl-NL"/>
        </w:rPr>
        <w:t>2</w:t>
      </w:r>
      <w:r w:rsidRPr="00335F45">
        <w:rPr>
          <w:rFonts w:ascii="Times New Roman" w:eastAsia="Times New Roman" w:hAnsi="Times New Roman"/>
          <w:i/>
          <w:lang w:val="nl-NL"/>
        </w:rPr>
        <w:t xml:space="preserve"> tháng </w:t>
      </w:r>
      <w:r w:rsidR="00C31909">
        <w:rPr>
          <w:rFonts w:ascii="Times New Roman" w:eastAsia="Times New Roman" w:hAnsi="Times New Roman"/>
          <w:i/>
          <w:lang w:val="nl-NL"/>
        </w:rPr>
        <w:t>01</w:t>
      </w:r>
      <w:r w:rsidR="00935B7F" w:rsidRPr="00335F45">
        <w:rPr>
          <w:rFonts w:ascii="Times New Roman" w:eastAsia="Times New Roman" w:hAnsi="Times New Roman"/>
          <w:i/>
          <w:lang w:val="nl-NL"/>
        </w:rPr>
        <w:t xml:space="preserve"> </w:t>
      </w:r>
      <w:r w:rsidRPr="00335F45">
        <w:rPr>
          <w:rFonts w:ascii="Times New Roman" w:eastAsia="Times New Roman" w:hAnsi="Times New Roman"/>
          <w:i/>
          <w:lang w:val="nl-NL"/>
        </w:rPr>
        <w:t>năm</w:t>
      </w:r>
      <w:r w:rsidR="00935B7F" w:rsidRPr="00335F45">
        <w:rPr>
          <w:rFonts w:ascii="Times New Roman" w:eastAsia="Times New Roman" w:hAnsi="Times New Roman"/>
          <w:i/>
          <w:lang w:val="nl-NL"/>
        </w:rPr>
        <w:t xml:space="preserve"> </w:t>
      </w:r>
      <w:r w:rsidRPr="00335F45">
        <w:rPr>
          <w:rFonts w:ascii="Times New Roman" w:eastAsia="Times New Roman" w:hAnsi="Times New Roman"/>
          <w:i/>
          <w:lang w:val="nl-NL"/>
        </w:rPr>
        <w:t>20</w:t>
      </w:r>
      <w:r w:rsidR="00935B7F" w:rsidRPr="00335F45">
        <w:rPr>
          <w:rFonts w:ascii="Times New Roman" w:eastAsia="Times New Roman" w:hAnsi="Times New Roman"/>
          <w:i/>
          <w:lang w:val="nl-NL"/>
        </w:rPr>
        <w:t>2</w:t>
      </w:r>
      <w:r w:rsidR="00C31909">
        <w:rPr>
          <w:rFonts w:ascii="Times New Roman" w:eastAsia="Times New Roman" w:hAnsi="Times New Roman"/>
          <w:i/>
          <w:lang w:val="nl-NL"/>
        </w:rPr>
        <w:t>4</w:t>
      </w:r>
    </w:p>
    <w:p w14:paraId="28D9C0EF" w14:textId="3E5ED8CE" w:rsidR="00394460" w:rsidRPr="00335F45" w:rsidRDefault="00394460" w:rsidP="00315A8E">
      <w:pPr>
        <w:tabs>
          <w:tab w:val="left" w:pos="540"/>
        </w:tabs>
        <w:spacing w:before="120"/>
        <w:jc w:val="right"/>
        <w:rPr>
          <w:rFonts w:ascii="Times New Roman" w:eastAsia="Times New Roman" w:hAnsi="Times New Roman"/>
          <w:b/>
          <w:lang w:val="nl-NL"/>
        </w:rPr>
      </w:pPr>
      <w:r w:rsidRPr="00335F45">
        <w:rPr>
          <w:rFonts w:ascii="Times New Roman" w:eastAsia="Times New Roman" w:hAnsi="Times New Roman"/>
          <w:b/>
          <w:lang w:val="nl-NL"/>
        </w:rPr>
        <w:t>CÔNG TY TNHH MTV QUẢN LÝ QUỸ DAI-ICHI LIFE VIỆT NAM</w:t>
      </w:r>
    </w:p>
    <w:p w14:paraId="2103DA63" w14:textId="23ADF96D" w:rsidR="00335F45" w:rsidRDefault="00394460" w:rsidP="00335F45">
      <w:pPr>
        <w:tabs>
          <w:tab w:val="left" w:pos="540"/>
        </w:tabs>
        <w:spacing w:before="120" w:line="240" w:lineRule="auto"/>
        <w:jc w:val="right"/>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Trần Châu Danh</w:t>
      </w:r>
    </w:p>
    <w:p w14:paraId="0AE4D2BC" w14:textId="77777777" w:rsidR="00CB11D2" w:rsidRDefault="00CB11D2" w:rsidP="00335F45">
      <w:pPr>
        <w:tabs>
          <w:tab w:val="left" w:pos="540"/>
        </w:tabs>
        <w:spacing w:before="120" w:line="240" w:lineRule="auto"/>
        <w:jc w:val="right"/>
        <w:rPr>
          <w:rFonts w:ascii="Times New Roman" w:eastAsia="Times New Roman" w:hAnsi="Times New Roman"/>
          <w:b/>
          <w:sz w:val="24"/>
          <w:szCs w:val="24"/>
          <w:lang w:val="nl-NL"/>
        </w:rPr>
      </w:pPr>
    </w:p>
    <w:p w14:paraId="4761BB13" w14:textId="77777777" w:rsidR="00EB03DA" w:rsidRDefault="00EB03DA" w:rsidP="00335F45">
      <w:pPr>
        <w:tabs>
          <w:tab w:val="left" w:pos="540"/>
        </w:tabs>
        <w:spacing w:before="120" w:line="240" w:lineRule="auto"/>
        <w:jc w:val="right"/>
        <w:rPr>
          <w:rFonts w:ascii="Times New Roman" w:eastAsia="Times New Roman" w:hAnsi="Times New Roman"/>
          <w:b/>
          <w:sz w:val="24"/>
          <w:szCs w:val="24"/>
          <w:lang w:val="nl-NL"/>
        </w:rPr>
      </w:pPr>
    </w:p>
    <w:p w14:paraId="1FC318D0" w14:textId="3E015796" w:rsidR="00335F45" w:rsidRPr="00A90AB7" w:rsidRDefault="00335F45" w:rsidP="00E81C98">
      <w:pPr>
        <w:tabs>
          <w:tab w:val="left" w:pos="540"/>
        </w:tabs>
        <w:spacing w:before="120" w:line="240" w:lineRule="auto"/>
        <w:jc w:val="right"/>
        <w:rPr>
          <w:rFonts w:ascii="Times New Roman" w:eastAsia="Times New Roman" w:hAnsi="Times New Roman"/>
          <w:b/>
          <w:sz w:val="24"/>
          <w:szCs w:val="24"/>
          <w:lang w:val="nl-NL"/>
        </w:rPr>
      </w:pPr>
      <w:r>
        <w:rPr>
          <w:rFonts w:ascii="Times New Roman" w:eastAsia="Times New Roman" w:hAnsi="Times New Roman"/>
          <w:b/>
          <w:lang w:val="nl-NL"/>
        </w:rPr>
        <w:t xml:space="preserve">  </w:t>
      </w:r>
      <w:r w:rsidRPr="00A90AB7">
        <w:rPr>
          <w:rFonts w:ascii="Times New Roman" w:eastAsia="Times New Roman" w:hAnsi="Times New Roman"/>
          <w:b/>
          <w:lang w:val="nl-NL"/>
        </w:rPr>
        <w:t>TỔNG GIÁM ĐỐC</w:t>
      </w:r>
    </w:p>
    <w:sectPr w:rsidR="00335F45"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5"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D185C"/>
    <w:multiLevelType w:val="hybridMultilevel"/>
    <w:tmpl w:val="58866FBC"/>
    <w:lvl w:ilvl="0" w:tplc="030C34F4">
      <w:start w:val="1"/>
      <w:numFmt w:val="lowerLetter"/>
      <w:lvlText w:val="(%1)"/>
      <w:lvlJc w:val="left"/>
      <w:pPr>
        <w:ind w:left="1008" w:hanging="360"/>
      </w:p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abstractNum w:abstractNumId="2"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21526"/>
    <w:multiLevelType w:val="hybridMultilevel"/>
    <w:tmpl w:val="2306ED5E"/>
    <w:lvl w:ilvl="0" w:tplc="B95814E0">
      <w:start w:val="1"/>
      <w:numFmt w:val="bullet"/>
      <w:lvlText w:val=""/>
      <w:lvlJc w:val="left"/>
      <w:pPr>
        <w:ind w:left="900" w:hanging="360"/>
      </w:pPr>
      <w:rPr>
        <w:rFonts w:ascii="Symbol" w:eastAsia="Calibr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FC3DFC"/>
    <w:multiLevelType w:val="hybridMultilevel"/>
    <w:tmpl w:val="43EA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D162454"/>
    <w:multiLevelType w:val="hybridMultilevel"/>
    <w:tmpl w:val="72105EC2"/>
    <w:lvl w:ilvl="0" w:tplc="01FC6EC2">
      <w:start w:val="1"/>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6D825FDD"/>
    <w:multiLevelType w:val="hybridMultilevel"/>
    <w:tmpl w:val="3B7C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7076D5"/>
    <w:multiLevelType w:val="hybridMultilevel"/>
    <w:tmpl w:val="46EC3590"/>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3827638">
    <w:abstractNumId w:val="6"/>
  </w:num>
  <w:num w:numId="2" w16cid:durableId="1888879003">
    <w:abstractNumId w:val="4"/>
  </w:num>
  <w:num w:numId="3" w16cid:durableId="1190027885">
    <w:abstractNumId w:val="0"/>
  </w:num>
  <w:num w:numId="4" w16cid:durableId="1918055730">
    <w:abstractNumId w:val="14"/>
  </w:num>
  <w:num w:numId="5" w16cid:durableId="893666029">
    <w:abstractNumId w:val="12"/>
  </w:num>
  <w:num w:numId="6" w16cid:durableId="276910628">
    <w:abstractNumId w:val="2"/>
  </w:num>
  <w:num w:numId="7" w16cid:durableId="1362052989">
    <w:abstractNumId w:val="10"/>
  </w:num>
  <w:num w:numId="8" w16cid:durableId="688024620">
    <w:abstractNumId w:val="9"/>
  </w:num>
  <w:num w:numId="9" w16cid:durableId="1314289840">
    <w:abstractNumId w:val="8"/>
  </w:num>
  <w:num w:numId="10" w16cid:durableId="80029367">
    <w:abstractNumId w:val="3"/>
  </w:num>
  <w:num w:numId="11" w16cid:durableId="1166820110">
    <w:abstractNumId w:val="5"/>
  </w:num>
  <w:num w:numId="12" w16cid:durableId="2018650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5148360">
    <w:abstractNumId w:val="11"/>
  </w:num>
  <w:num w:numId="14" w16cid:durableId="2127000618">
    <w:abstractNumId w:val="7"/>
  </w:num>
  <w:num w:numId="15" w16cid:durableId="2082679086">
    <w:abstractNumId w:val="13"/>
  </w:num>
  <w:num w:numId="16" w16cid:durableId="708068801">
    <w:abstractNumId w:val="15"/>
  </w:num>
  <w:num w:numId="17" w16cid:durableId="348802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10F11"/>
    <w:rsid w:val="000119B6"/>
    <w:rsid w:val="0001588B"/>
    <w:rsid w:val="00056F20"/>
    <w:rsid w:val="000600E0"/>
    <w:rsid w:val="00062055"/>
    <w:rsid w:val="00067968"/>
    <w:rsid w:val="00075787"/>
    <w:rsid w:val="00087AE7"/>
    <w:rsid w:val="00091CAB"/>
    <w:rsid w:val="00094E40"/>
    <w:rsid w:val="0009649C"/>
    <w:rsid w:val="000B431B"/>
    <w:rsid w:val="000C014D"/>
    <w:rsid w:val="000C4474"/>
    <w:rsid w:val="000C67AE"/>
    <w:rsid w:val="000D074B"/>
    <w:rsid w:val="000D3A01"/>
    <w:rsid w:val="000E3393"/>
    <w:rsid w:val="000E3B0B"/>
    <w:rsid w:val="000E5FE9"/>
    <w:rsid w:val="000F2123"/>
    <w:rsid w:val="000F601D"/>
    <w:rsid w:val="001046F6"/>
    <w:rsid w:val="001048A2"/>
    <w:rsid w:val="00116153"/>
    <w:rsid w:val="00123825"/>
    <w:rsid w:val="00124294"/>
    <w:rsid w:val="00131315"/>
    <w:rsid w:val="001321D1"/>
    <w:rsid w:val="001330FC"/>
    <w:rsid w:val="00137C1F"/>
    <w:rsid w:val="00147E0F"/>
    <w:rsid w:val="00151BC4"/>
    <w:rsid w:val="00156661"/>
    <w:rsid w:val="001660FB"/>
    <w:rsid w:val="00171D24"/>
    <w:rsid w:val="0017714B"/>
    <w:rsid w:val="0018025F"/>
    <w:rsid w:val="00181336"/>
    <w:rsid w:val="00181C49"/>
    <w:rsid w:val="001966AE"/>
    <w:rsid w:val="001B0B30"/>
    <w:rsid w:val="001B784B"/>
    <w:rsid w:val="001C4B96"/>
    <w:rsid w:val="001D49A9"/>
    <w:rsid w:val="001D6CAC"/>
    <w:rsid w:val="001E1E46"/>
    <w:rsid w:val="001E40A2"/>
    <w:rsid w:val="001E4811"/>
    <w:rsid w:val="00203124"/>
    <w:rsid w:val="00207FB7"/>
    <w:rsid w:val="00220EA1"/>
    <w:rsid w:val="002243DA"/>
    <w:rsid w:val="00245818"/>
    <w:rsid w:val="00260C52"/>
    <w:rsid w:val="002616E7"/>
    <w:rsid w:val="0026620B"/>
    <w:rsid w:val="002841FF"/>
    <w:rsid w:val="00290D33"/>
    <w:rsid w:val="002A14C7"/>
    <w:rsid w:val="002D4C06"/>
    <w:rsid w:val="002E1952"/>
    <w:rsid w:val="003011A5"/>
    <w:rsid w:val="00315A8E"/>
    <w:rsid w:val="00324B82"/>
    <w:rsid w:val="003329D6"/>
    <w:rsid w:val="003355C3"/>
    <w:rsid w:val="00335F45"/>
    <w:rsid w:val="00360AD3"/>
    <w:rsid w:val="00363C83"/>
    <w:rsid w:val="0037699B"/>
    <w:rsid w:val="00386B2A"/>
    <w:rsid w:val="003875D1"/>
    <w:rsid w:val="00390432"/>
    <w:rsid w:val="00394460"/>
    <w:rsid w:val="003A4C1C"/>
    <w:rsid w:val="003A4D71"/>
    <w:rsid w:val="003B07B0"/>
    <w:rsid w:val="003D42C3"/>
    <w:rsid w:val="003E0EF5"/>
    <w:rsid w:val="003E3D5C"/>
    <w:rsid w:val="003F36B2"/>
    <w:rsid w:val="003F7CB7"/>
    <w:rsid w:val="00420BBF"/>
    <w:rsid w:val="00424BCD"/>
    <w:rsid w:val="00450792"/>
    <w:rsid w:val="004532C3"/>
    <w:rsid w:val="00455789"/>
    <w:rsid w:val="004573A2"/>
    <w:rsid w:val="00460C69"/>
    <w:rsid w:val="0046119D"/>
    <w:rsid w:val="004647B9"/>
    <w:rsid w:val="00477DC2"/>
    <w:rsid w:val="00494F7E"/>
    <w:rsid w:val="004C3F63"/>
    <w:rsid w:val="004C7F20"/>
    <w:rsid w:val="004D7871"/>
    <w:rsid w:val="004E180A"/>
    <w:rsid w:val="004E41BD"/>
    <w:rsid w:val="00505ACF"/>
    <w:rsid w:val="005146DD"/>
    <w:rsid w:val="0052162A"/>
    <w:rsid w:val="00523419"/>
    <w:rsid w:val="0052502D"/>
    <w:rsid w:val="0053737B"/>
    <w:rsid w:val="005461C0"/>
    <w:rsid w:val="00551946"/>
    <w:rsid w:val="00551DCB"/>
    <w:rsid w:val="005523A8"/>
    <w:rsid w:val="00572F1B"/>
    <w:rsid w:val="0058767D"/>
    <w:rsid w:val="0058782D"/>
    <w:rsid w:val="0059531B"/>
    <w:rsid w:val="005A23DB"/>
    <w:rsid w:val="005A265A"/>
    <w:rsid w:val="005A4441"/>
    <w:rsid w:val="005A4E9C"/>
    <w:rsid w:val="005C58DA"/>
    <w:rsid w:val="005E3A0A"/>
    <w:rsid w:val="005E4081"/>
    <w:rsid w:val="005E4A6D"/>
    <w:rsid w:val="005E549F"/>
    <w:rsid w:val="005E77D1"/>
    <w:rsid w:val="005F16E8"/>
    <w:rsid w:val="005F188A"/>
    <w:rsid w:val="00620D22"/>
    <w:rsid w:val="00631DA1"/>
    <w:rsid w:val="00645CE0"/>
    <w:rsid w:val="00677949"/>
    <w:rsid w:val="006832E9"/>
    <w:rsid w:val="006871BD"/>
    <w:rsid w:val="006902A3"/>
    <w:rsid w:val="006A5246"/>
    <w:rsid w:val="006B2F2D"/>
    <w:rsid w:val="006D6A1B"/>
    <w:rsid w:val="006E2436"/>
    <w:rsid w:val="006F7015"/>
    <w:rsid w:val="006F7C5E"/>
    <w:rsid w:val="00701DBC"/>
    <w:rsid w:val="00703342"/>
    <w:rsid w:val="007104D6"/>
    <w:rsid w:val="00713CC7"/>
    <w:rsid w:val="00747879"/>
    <w:rsid w:val="00753C12"/>
    <w:rsid w:val="00756A76"/>
    <w:rsid w:val="00763691"/>
    <w:rsid w:val="00764C46"/>
    <w:rsid w:val="00774ECC"/>
    <w:rsid w:val="00792A48"/>
    <w:rsid w:val="007959DC"/>
    <w:rsid w:val="007A2D4E"/>
    <w:rsid w:val="007B27C8"/>
    <w:rsid w:val="007B289D"/>
    <w:rsid w:val="007C5B05"/>
    <w:rsid w:val="007D0745"/>
    <w:rsid w:val="007F2DCF"/>
    <w:rsid w:val="007F66BE"/>
    <w:rsid w:val="008001E9"/>
    <w:rsid w:val="00804BBD"/>
    <w:rsid w:val="00816829"/>
    <w:rsid w:val="00826BB2"/>
    <w:rsid w:val="00830EAF"/>
    <w:rsid w:val="0083372E"/>
    <w:rsid w:val="00845924"/>
    <w:rsid w:val="00860234"/>
    <w:rsid w:val="00860A96"/>
    <w:rsid w:val="008707C6"/>
    <w:rsid w:val="008731A7"/>
    <w:rsid w:val="008873DE"/>
    <w:rsid w:val="008939A1"/>
    <w:rsid w:val="008971AB"/>
    <w:rsid w:val="00897BB3"/>
    <w:rsid w:val="008B0C11"/>
    <w:rsid w:val="008D0C99"/>
    <w:rsid w:val="008D5113"/>
    <w:rsid w:val="008D629B"/>
    <w:rsid w:val="008E75CF"/>
    <w:rsid w:val="008F2B2D"/>
    <w:rsid w:val="008F3818"/>
    <w:rsid w:val="0090437A"/>
    <w:rsid w:val="00912E19"/>
    <w:rsid w:val="00931464"/>
    <w:rsid w:val="0093157F"/>
    <w:rsid w:val="0093357C"/>
    <w:rsid w:val="00935B7F"/>
    <w:rsid w:val="0095587A"/>
    <w:rsid w:val="0096433E"/>
    <w:rsid w:val="0096793F"/>
    <w:rsid w:val="00967CA8"/>
    <w:rsid w:val="00981F7A"/>
    <w:rsid w:val="00982758"/>
    <w:rsid w:val="00985B28"/>
    <w:rsid w:val="009A46F6"/>
    <w:rsid w:val="009C5637"/>
    <w:rsid w:val="009D5686"/>
    <w:rsid w:val="009D7171"/>
    <w:rsid w:val="009E4A9A"/>
    <w:rsid w:val="009F4856"/>
    <w:rsid w:val="00A002EB"/>
    <w:rsid w:val="00A04A2C"/>
    <w:rsid w:val="00A16D50"/>
    <w:rsid w:val="00A24E1D"/>
    <w:rsid w:val="00A26229"/>
    <w:rsid w:val="00A27B9B"/>
    <w:rsid w:val="00A354B3"/>
    <w:rsid w:val="00A377D1"/>
    <w:rsid w:val="00A42F64"/>
    <w:rsid w:val="00A44447"/>
    <w:rsid w:val="00A474F7"/>
    <w:rsid w:val="00A62B81"/>
    <w:rsid w:val="00A81069"/>
    <w:rsid w:val="00A83802"/>
    <w:rsid w:val="00A85A99"/>
    <w:rsid w:val="00A85E80"/>
    <w:rsid w:val="00A90AB7"/>
    <w:rsid w:val="00A9573B"/>
    <w:rsid w:val="00AA40C7"/>
    <w:rsid w:val="00AB46A2"/>
    <w:rsid w:val="00AB604A"/>
    <w:rsid w:val="00AC398E"/>
    <w:rsid w:val="00AD411A"/>
    <w:rsid w:val="00AE3720"/>
    <w:rsid w:val="00AF4454"/>
    <w:rsid w:val="00AF7018"/>
    <w:rsid w:val="00B00350"/>
    <w:rsid w:val="00B0433F"/>
    <w:rsid w:val="00B10F95"/>
    <w:rsid w:val="00B16AFD"/>
    <w:rsid w:val="00B17BB1"/>
    <w:rsid w:val="00B31181"/>
    <w:rsid w:val="00B32217"/>
    <w:rsid w:val="00B32E8D"/>
    <w:rsid w:val="00B354D5"/>
    <w:rsid w:val="00B55789"/>
    <w:rsid w:val="00B63DD9"/>
    <w:rsid w:val="00B649B2"/>
    <w:rsid w:val="00B73897"/>
    <w:rsid w:val="00B7729E"/>
    <w:rsid w:val="00B77864"/>
    <w:rsid w:val="00B83A50"/>
    <w:rsid w:val="00B83A7D"/>
    <w:rsid w:val="00B8402C"/>
    <w:rsid w:val="00B97429"/>
    <w:rsid w:val="00B97B26"/>
    <w:rsid w:val="00BA4D7F"/>
    <w:rsid w:val="00BD079F"/>
    <w:rsid w:val="00BE1598"/>
    <w:rsid w:val="00BE6F63"/>
    <w:rsid w:val="00BF217F"/>
    <w:rsid w:val="00BF44CF"/>
    <w:rsid w:val="00C02674"/>
    <w:rsid w:val="00C07D3B"/>
    <w:rsid w:val="00C17A7C"/>
    <w:rsid w:val="00C31909"/>
    <w:rsid w:val="00C326B2"/>
    <w:rsid w:val="00C32781"/>
    <w:rsid w:val="00C3684A"/>
    <w:rsid w:val="00C41CA6"/>
    <w:rsid w:val="00C47453"/>
    <w:rsid w:val="00C5103F"/>
    <w:rsid w:val="00C527C7"/>
    <w:rsid w:val="00C5765C"/>
    <w:rsid w:val="00C8194B"/>
    <w:rsid w:val="00C83D1E"/>
    <w:rsid w:val="00CA76CF"/>
    <w:rsid w:val="00CB11D2"/>
    <w:rsid w:val="00CC0FF9"/>
    <w:rsid w:val="00CD495C"/>
    <w:rsid w:val="00D10122"/>
    <w:rsid w:val="00D11DF9"/>
    <w:rsid w:val="00D135E8"/>
    <w:rsid w:val="00D20DF1"/>
    <w:rsid w:val="00D32EB2"/>
    <w:rsid w:val="00D55232"/>
    <w:rsid w:val="00D66826"/>
    <w:rsid w:val="00D806C4"/>
    <w:rsid w:val="00D8541F"/>
    <w:rsid w:val="00D85C46"/>
    <w:rsid w:val="00DA30AE"/>
    <w:rsid w:val="00DC1FD1"/>
    <w:rsid w:val="00DD4AE4"/>
    <w:rsid w:val="00E0018A"/>
    <w:rsid w:val="00E03D4B"/>
    <w:rsid w:val="00E117F3"/>
    <w:rsid w:val="00E24141"/>
    <w:rsid w:val="00E32BB9"/>
    <w:rsid w:val="00E41DE8"/>
    <w:rsid w:val="00E47954"/>
    <w:rsid w:val="00E50F56"/>
    <w:rsid w:val="00E53446"/>
    <w:rsid w:val="00E630D3"/>
    <w:rsid w:val="00E67CAC"/>
    <w:rsid w:val="00E67E98"/>
    <w:rsid w:val="00E74ED3"/>
    <w:rsid w:val="00E81C98"/>
    <w:rsid w:val="00E92263"/>
    <w:rsid w:val="00E95030"/>
    <w:rsid w:val="00EA03A4"/>
    <w:rsid w:val="00EA431F"/>
    <w:rsid w:val="00EB03DA"/>
    <w:rsid w:val="00EB7C98"/>
    <w:rsid w:val="00EC15EC"/>
    <w:rsid w:val="00EC1DDD"/>
    <w:rsid w:val="00ED15C1"/>
    <w:rsid w:val="00ED4A9C"/>
    <w:rsid w:val="00EE2193"/>
    <w:rsid w:val="00EE3F61"/>
    <w:rsid w:val="00EF226D"/>
    <w:rsid w:val="00EF41E2"/>
    <w:rsid w:val="00F00770"/>
    <w:rsid w:val="00F01A1F"/>
    <w:rsid w:val="00F075DE"/>
    <w:rsid w:val="00F23C43"/>
    <w:rsid w:val="00F61CFC"/>
    <w:rsid w:val="00F72260"/>
    <w:rsid w:val="00F91FAC"/>
    <w:rsid w:val="00F92921"/>
    <w:rsid w:val="00FA0348"/>
    <w:rsid w:val="00FA2A53"/>
    <w:rsid w:val="00FB29CA"/>
    <w:rsid w:val="00FB7B6E"/>
    <w:rsid w:val="00FC1847"/>
    <w:rsid w:val="00FC1F89"/>
    <w:rsid w:val="00FE2BC9"/>
    <w:rsid w:val="00FE2C8E"/>
    <w:rsid w:val="00FE45BB"/>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aliases w:val="Top headings"/>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 w:type="paragraph" w:styleId="BodyTextIndent2">
    <w:name w:val="Body Text Indent 2"/>
    <w:basedOn w:val="Normal"/>
    <w:link w:val="BodyTextIndent2Char"/>
    <w:rsid w:val="007B27C8"/>
    <w:pPr>
      <w:overflowPunct w:val="0"/>
      <w:autoSpaceDE w:val="0"/>
      <w:autoSpaceDN w:val="0"/>
      <w:adjustRightInd w:val="0"/>
      <w:spacing w:before="120" w:after="0" w:line="240" w:lineRule="auto"/>
      <w:ind w:left="709"/>
      <w:jc w:val="both"/>
      <w:textAlignment w:val="baseline"/>
    </w:pPr>
    <w:rPr>
      <w:rFonts w:ascii="VNI-Times" w:eastAsia="Times New Roman" w:hAnsi="VNI-Times"/>
      <w:szCs w:val="20"/>
      <w:lang w:val="en-GB" w:eastAsia="x-none"/>
    </w:rPr>
  </w:style>
  <w:style w:type="character" w:customStyle="1" w:styleId="BodyTextIndent2Char">
    <w:name w:val="Body Text Indent 2 Char"/>
    <w:basedOn w:val="DefaultParagraphFont"/>
    <w:link w:val="BodyTextIndent2"/>
    <w:rsid w:val="007B27C8"/>
    <w:rPr>
      <w:rFonts w:ascii="VNI-Times" w:eastAsia="Times New Roman" w:hAnsi="VNI-Times" w:cs="Times New Roman"/>
      <w:szCs w:val="20"/>
      <w:lang w:val="en-GB" w:eastAsia="x-none"/>
    </w:rPr>
  </w:style>
  <w:style w:type="paragraph" w:styleId="Revision">
    <w:name w:val="Revision"/>
    <w:hidden/>
    <w:uiPriority w:val="99"/>
    <w:semiHidden/>
    <w:rsid w:val="00C07D3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652031241">
      <w:bodyDiv w:val="1"/>
      <w:marLeft w:val="0"/>
      <w:marRight w:val="0"/>
      <w:marTop w:val="0"/>
      <w:marBottom w:val="0"/>
      <w:divBdr>
        <w:top w:val="none" w:sz="0" w:space="0" w:color="auto"/>
        <w:left w:val="none" w:sz="0" w:space="0" w:color="auto"/>
        <w:bottom w:val="none" w:sz="0" w:space="0" w:color="auto"/>
        <w:right w:val="none" w:sz="0" w:space="0" w:color="auto"/>
      </w:divBdr>
    </w:div>
    <w:div w:id="731151809">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142307954">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1970164139">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headoffice.dai-ichi-life.com.vn\hcm\dfvn\OPERATIONS\15.CEO%20Report\Performance%20DFVN-CA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tx1"/>
                </a:solidFill>
                <a:latin typeface="+mn-lt"/>
                <a:ea typeface="+mn-ea"/>
                <a:cs typeface="+mn-cs"/>
              </a:defRPr>
            </a:pPr>
            <a:r>
              <a:rPr lang="en-US">
                <a:solidFill>
                  <a:schemeClr val="tx1"/>
                </a:solidFill>
              </a:rPr>
              <a:t>NAV/CCQ</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tx1"/>
              </a:solidFill>
              <a:latin typeface="+mn-lt"/>
              <a:ea typeface="+mn-ea"/>
              <a:cs typeface="+mn-cs"/>
            </a:defRPr>
          </a:pPr>
          <a:endParaRPr lang="en-US"/>
        </a:p>
      </c:txPr>
    </c:title>
    <c:autoTitleDeleted val="0"/>
    <c:plotArea>
      <c:layout/>
      <c:lineChart>
        <c:grouping val="standard"/>
        <c:varyColors val="0"/>
        <c:ser>
          <c:idx val="0"/>
          <c:order val="0"/>
          <c:tx>
            <c:strRef>
              <c:f>Chart!$B$1</c:f>
              <c:strCache>
                <c:ptCount val="1"/>
                <c:pt idx="0">
                  <c:v>Unit Price</c:v>
                </c:pt>
              </c:strCache>
            </c:strRef>
          </c:tx>
          <c:spPr>
            <a:ln w="22225" cap="rnd">
              <a:solidFill>
                <a:schemeClr val="accent1"/>
              </a:solidFill>
            </a:ln>
            <a:effectLst>
              <a:glow rad="139700">
                <a:schemeClr val="accent1">
                  <a:satMod val="175000"/>
                  <a:alpha val="14000"/>
                </a:schemeClr>
              </a:glow>
            </a:effectLst>
          </c:spPr>
          <c:marker>
            <c:symbol val="none"/>
          </c:marker>
          <c:dPt>
            <c:idx val="125"/>
            <c:marker>
              <c:symbol val="none"/>
            </c:marker>
            <c:bubble3D val="0"/>
            <c:extLst>
              <c:ext xmlns:c16="http://schemas.microsoft.com/office/drawing/2014/chart" uri="{C3380CC4-5D6E-409C-BE32-E72D297353CC}">
                <c16:uniqueId val="{00000000-E401-46C3-86DB-EE8D198F3A6B}"/>
              </c:ext>
            </c:extLst>
          </c:dPt>
          <c:cat>
            <c:numRef>
              <c:f>Chart!$A$2:$A$307</c:f>
              <c:numCache>
                <c:formatCode>[$-409]d\-mmm\-yy;@</c:formatCode>
                <c:ptCount val="306"/>
                <c:pt idx="0">
                  <c:v>43472</c:v>
                </c:pt>
                <c:pt idx="1">
                  <c:v>43472</c:v>
                </c:pt>
                <c:pt idx="2">
                  <c:v>43479</c:v>
                </c:pt>
                <c:pt idx="3">
                  <c:v>43486</c:v>
                </c:pt>
                <c:pt idx="4">
                  <c:v>43493</c:v>
                </c:pt>
                <c:pt idx="5">
                  <c:v>43496</c:v>
                </c:pt>
                <c:pt idx="6">
                  <c:v>43507</c:v>
                </c:pt>
                <c:pt idx="7">
                  <c:v>43514</c:v>
                </c:pt>
                <c:pt idx="8">
                  <c:v>43521</c:v>
                </c:pt>
                <c:pt idx="9">
                  <c:v>43524</c:v>
                </c:pt>
                <c:pt idx="10">
                  <c:v>43528</c:v>
                </c:pt>
                <c:pt idx="11">
                  <c:v>43535</c:v>
                </c:pt>
                <c:pt idx="12">
                  <c:v>43542</c:v>
                </c:pt>
                <c:pt idx="13">
                  <c:v>43549</c:v>
                </c:pt>
                <c:pt idx="14">
                  <c:v>43555</c:v>
                </c:pt>
                <c:pt idx="15">
                  <c:v>43556</c:v>
                </c:pt>
                <c:pt idx="16">
                  <c:v>43563</c:v>
                </c:pt>
                <c:pt idx="17">
                  <c:v>43570</c:v>
                </c:pt>
                <c:pt idx="18">
                  <c:v>43577</c:v>
                </c:pt>
                <c:pt idx="19">
                  <c:v>43585</c:v>
                </c:pt>
                <c:pt idx="20">
                  <c:v>43591</c:v>
                </c:pt>
                <c:pt idx="21">
                  <c:v>43598</c:v>
                </c:pt>
                <c:pt idx="22">
                  <c:v>43605</c:v>
                </c:pt>
                <c:pt idx="23">
                  <c:v>43612</c:v>
                </c:pt>
                <c:pt idx="24">
                  <c:v>43616</c:v>
                </c:pt>
                <c:pt idx="25">
                  <c:v>43619</c:v>
                </c:pt>
                <c:pt idx="26">
                  <c:v>43626</c:v>
                </c:pt>
                <c:pt idx="27">
                  <c:v>43633</c:v>
                </c:pt>
                <c:pt idx="28">
                  <c:v>43640</c:v>
                </c:pt>
                <c:pt idx="29">
                  <c:v>43646</c:v>
                </c:pt>
                <c:pt idx="30">
                  <c:v>43647</c:v>
                </c:pt>
                <c:pt idx="31">
                  <c:v>43654</c:v>
                </c:pt>
                <c:pt idx="32">
                  <c:v>43661</c:v>
                </c:pt>
                <c:pt idx="33">
                  <c:v>43668</c:v>
                </c:pt>
                <c:pt idx="34">
                  <c:v>43675</c:v>
                </c:pt>
                <c:pt idx="35">
                  <c:v>43677</c:v>
                </c:pt>
                <c:pt idx="36">
                  <c:v>43682</c:v>
                </c:pt>
                <c:pt idx="37">
                  <c:v>43689</c:v>
                </c:pt>
                <c:pt idx="38">
                  <c:v>43696</c:v>
                </c:pt>
                <c:pt idx="39">
                  <c:v>43703</c:v>
                </c:pt>
                <c:pt idx="40">
                  <c:v>43708</c:v>
                </c:pt>
                <c:pt idx="41">
                  <c:v>43710</c:v>
                </c:pt>
                <c:pt idx="42">
                  <c:v>43717</c:v>
                </c:pt>
                <c:pt idx="43">
                  <c:v>43724</c:v>
                </c:pt>
                <c:pt idx="44">
                  <c:v>43731</c:v>
                </c:pt>
                <c:pt idx="45">
                  <c:v>43738</c:v>
                </c:pt>
                <c:pt idx="46">
                  <c:v>43745</c:v>
                </c:pt>
                <c:pt idx="47">
                  <c:v>43752</c:v>
                </c:pt>
                <c:pt idx="48">
                  <c:v>43759</c:v>
                </c:pt>
                <c:pt idx="49">
                  <c:v>43766</c:v>
                </c:pt>
                <c:pt idx="50">
                  <c:v>43769</c:v>
                </c:pt>
                <c:pt idx="51">
                  <c:v>43773</c:v>
                </c:pt>
                <c:pt idx="52">
                  <c:v>43780</c:v>
                </c:pt>
                <c:pt idx="53">
                  <c:v>43787</c:v>
                </c:pt>
                <c:pt idx="54">
                  <c:v>43794</c:v>
                </c:pt>
                <c:pt idx="55">
                  <c:v>43799</c:v>
                </c:pt>
                <c:pt idx="56">
                  <c:v>43801</c:v>
                </c:pt>
                <c:pt idx="57">
                  <c:v>43808</c:v>
                </c:pt>
                <c:pt idx="58">
                  <c:v>43815</c:v>
                </c:pt>
                <c:pt idx="59">
                  <c:v>43822</c:v>
                </c:pt>
                <c:pt idx="60">
                  <c:v>43829</c:v>
                </c:pt>
                <c:pt idx="61">
                  <c:v>43830</c:v>
                </c:pt>
                <c:pt idx="62">
                  <c:v>43836</c:v>
                </c:pt>
                <c:pt idx="63">
                  <c:v>43843</c:v>
                </c:pt>
                <c:pt idx="64">
                  <c:v>43850</c:v>
                </c:pt>
                <c:pt idx="65">
                  <c:v>43861</c:v>
                </c:pt>
                <c:pt idx="66">
                  <c:v>43864</c:v>
                </c:pt>
                <c:pt idx="67">
                  <c:v>43871</c:v>
                </c:pt>
                <c:pt idx="68">
                  <c:v>43878</c:v>
                </c:pt>
                <c:pt idx="69">
                  <c:v>43885</c:v>
                </c:pt>
                <c:pt idx="70">
                  <c:v>43890</c:v>
                </c:pt>
                <c:pt idx="71">
                  <c:v>43892</c:v>
                </c:pt>
                <c:pt idx="72">
                  <c:v>43899</c:v>
                </c:pt>
                <c:pt idx="73">
                  <c:v>43906</c:v>
                </c:pt>
                <c:pt idx="74">
                  <c:v>43913</c:v>
                </c:pt>
                <c:pt idx="75">
                  <c:v>43920</c:v>
                </c:pt>
                <c:pt idx="76">
                  <c:v>43921</c:v>
                </c:pt>
                <c:pt idx="77">
                  <c:v>43927</c:v>
                </c:pt>
                <c:pt idx="78">
                  <c:v>43934</c:v>
                </c:pt>
                <c:pt idx="79">
                  <c:v>43941</c:v>
                </c:pt>
                <c:pt idx="80">
                  <c:v>43948</c:v>
                </c:pt>
                <c:pt idx="81">
                  <c:v>43951</c:v>
                </c:pt>
                <c:pt idx="82">
                  <c:v>43955</c:v>
                </c:pt>
                <c:pt idx="83">
                  <c:v>43962</c:v>
                </c:pt>
                <c:pt idx="84">
                  <c:v>43969</c:v>
                </c:pt>
                <c:pt idx="85">
                  <c:v>43976</c:v>
                </c:pt>
                <c:pt idx="86">
                  <c:v>43982</c:v>
                </c:pt>
                <c:pt idx="87">
                  <c:v>43983</c:v>
                </c:pt>
                <c:pt idx="88">
                  <c:v>43990</c:v>
                </c:pt>
                <c:pt idx="89">
                  <c:v>43997</c:v>
                </c:pt>
                <c:pt idx="90">
                  <c:v>44004</c:v>
                </c:pt>
                <c:pt idx="91">
                  <c:v>44011</c:v>
                </c:pt>
                <c:pt idx="92">
                  <c:v>44012</c:v>
                </c:pt>
                <c:pt idx="93">
                  <c:v>44018</c:v>
                </c:pt>
                <c:pt idx="94">
                  <c:v>44025</c:v>
                </c:pt>
                <c:pt idx="95">
                  <c:v>44032</c:v>
                </c:pt>
                <c:pt idx="96">
                  <c:v>44039</c:v>
                </c:pt>
                <c:pt idx="97">
                  <c:v>44043</c:v>
                </c:pt>
                <c:pt idx="98">
                  <c:v>44046</c:v>
                </c:pt>
                <c:pt idx="99">
                  <c:v>44053</c:v>
                </c:pt>
                <c:pt idx="100">
                  <c:v>44060</c:v>
                </c:pt>
                <c:pt idx="101">
                  <c:v>44067</c:v>
                </c:pt>
                <c:pt idx="102">
                  <c:v>44074</c:v>
                </c:pt>
                <c:pt idx="103">
                  <c:v>44081</c:v>
                </c:pt>
                <c:pt idx="104">
                  <c:v>44088</c:v>
                </c:pt>
                <c:pt idx="105">
                  <c:v>44095</c:v>
                </c:pt>
                <c:pt idx="106">
                  <c:v>44102</c:v>
                </c:pt>
                <c:pt idx="107">
                  <c:v>44104</c:v>
                </c:pt>
                <c:pt idx="108">
                  <c:v>44109</c:v>
                </c:pt>
                <c:pt idx="109">
                  <c:v>44116</c:v>
                </c:pt>
                <c:pt idx="110">
                  <c:v>44123</c:v>
                </c:pt>
                <c:pt idx="111">
                  <c:v>44130</c:v>
                </c:pt>
                <c:pt idx="112">
                  <c:v>44135</c:v>
                </c:pt>
                <c:pt idx="113">
                  <c:v>44137</c:v>
                </c:pt>
                <c:pt idx="114">
                  <c:v>44144</c:v>
                </c:pt>
                <c:pt idx="115">
                  <c:v>44151</c:v>
                </c:pt>
                <c:pt idx="116">
                  <c:v>44158</c:v>
                </c:pt>
                <c:pt idx="117">
                  <c:v>44165</c:v>
                </c:pt>
                <c:pt idx="118">
                  <c:v>44172</c:v>
                </c:pt>
                <c:pt idx="119">
                  <c:v>44179</c:v>
                </c:pt>
                <c:pt idx="120">
                  <c:v>44186</c:v>
                </c:pt>
                <c:pt idx="121">
                  <c:v>44193</c:v>
                </c:pt>
                <c:pt idx="122">
                  <c:v>44196</c:v>
                </c:pt>
                <c:pt idx="123">
                  <c:v>44200</c:v>
                </c:pt>
                <c:pt idx="124">
                  <c:v>44207</c:v>
                </c:pt>
                <c:pt idx="125">
                  <c:v>44214</c:v>
                </c:pt>
                <c:pt idx="126">
                  <c:v>44221</c:v>
                </c:pt>
                <c:pt idx="127">
                  <c:v>44227</c:v>
                </c:pt>
                <c:pt idx="128">
                  <c:v>44228</c:v>
                </c:pt>
                <c:pt idx="129">
                  <c:v>44235</c:v>
                </c:pt>
                <c:pt idx="130">
                  <c:v>44249</c:v>
                </c:pt>
                <c:pt idx="131">
                  <c:v>44255</c:v>
                </c:pt>
                <c:pt idx="132">
                  <c:v>44256</c:v>
                </c:pt>
                <c:pt idx="133">
                  <c:v>44263</c:v>
                </c:pt>
                <c:pt idx="134">
                  <c:v>44270</c:v>
                </c:pt>
                <c:pt idx="135">
                  <c:v>44277</c:v>
                </c:pt>
                <c:pt idx="136">
                  <c:v>44284</c:v>
                </c:pt>
                <c:pt idx="137">
                  <c:v>44286</c:v>
                </c:pt>
                <c:pt idx="138">
                  <c:v>44291</c:v>
                </c:pt>
                <c:pt idx="139">
                  <c:v>44298</c:v>
                </c:pt>
                <c:pt idx="140">
                  <c:v>44305</c:v>
                </c:pt>
                <c:pt idx="141">
                  <c:v>44312</c:v>
                </c:pt>
                <c:pt idx="142">
                  <c:v>44316</c:v>
                </c:pt>
                <c:pt idx="143">
                  <c:v>44319</c:v>
                </c:pt>
                <c:pt idx="144">
                  <c:v>44326</c:v>
                </c:pt>
                <c:pt idx="145">
                  <c:v>44333</c:v>
                </c:pt>
                <c:pt idx="146">
                  <c:v>44340</c:v>
                </c:pt>
                <c:pt idx="147">
                  <c:v>44347</c:v>
                </c:pt>
                <c:pt idx="148">
                  <c:v>44354</c:v>
                </c:pt>
                <c:pt idx="149">
                  <c:v>44361</c:v>
                </c:pt>
                <c:pt idx="150">
                  <c:v>44368</c:v>
                </c:pt>
                <c:pt idx="151">
                  <c:v>44375</c:v>
                </c:pt>
                <c:pt idx="152">
                  <c:v>44377</c:v>
                </c:pt>
                <c:pt idx="153">
                  <c:v>44382</c:v>
                </c:pt>
                <c:pt idx="154">
                  <c:v>44389</c:v>
                </c:pt>
                <c:pt idx="155">
                  <c:v>44396</c:v>
                </c:pt>
                <c:pt idx="156">
                  <c:v>44403</c:v>
                </c:pt>
                <c:pt idx="157">
                  <c:v>44408</c:v>
                </c:pt>
                <c:pt idx="158">
                  <c:v>44410</c:v>
                </c:pt>
                <c:pt idx="159">
                  <c:v>44417</c:v>
                </c:pt>
                <c:pt idx="160">
                  <c:v>44424</c:v>
                </c:pt>
                <c:pt idx="161">
                  <c:v>44431</c:v>
                </c:pt>
                <c:pt idx="162">
                  <c:v>44438</c:v>
                </c:pt>
                <c:pt idx="163">
                  <c:v>44439</c:v>
                </c:pt>
                <c:pt idx="164">
                  <c:v>44445</c:v>
                </c:pt>
                <c:pt idx="165">
                  <c:v>44452</c:v>
                </c:pt>
                <c:pt idx="166">
                  <c:v>44459</c:v>
                </c:pt>
                <c:pt idx="167">
                  <c:v>44466</c:v>
                </c:pt>
                <c:pt idx="168">
                  <c:v>44469</c:v>
                </c:pt>
                <c:pt idx="169">
                  <c:v>44473</c:v>
                </c:pt>
                <c:pt idx="170">
                  <c:v>44480</c:v>
                </c:pt>
                <c:pt idx="171">
                  <c:v>44487</c:v>
                </c:pt>
                <c:pt idx="172">
                  <c:v>44494</c:v>
                </c:pt>
                <c:pt idx="173">
                  <c:v>44500</c:v>
                </c:pt>
                <c:pt idx="174">
                  <c:v>44501</c:v>
                </c:pt>
                <c:pt idx="175">
                  <c:v>44508</c:v>
                </c:pt>
                <c:pt idx="176">
                  <c:v>44515</c:v>
                </c:pt>
                <c:pt idx="177">
                  <c:v>44522</c:v>
                </c:pt>
                <c:pt idx="178">
                  <c:v>44529</c:v>
                </c:pt>
                <c:pt idx="179">
                  <c:v>44530</c:v>
                </c:pt>
                <c:pt idx="180">
                  <c:v>44536</c:v>
                </c:pt>
                <c:pt idx="181">
                  <c:v>44543</c:v>
                </c:pt>
                <c:pt idx="182">
                  <c:v>44550</c:v>
                </c:pt>
                <c:pt idx="183">
                  <c:v>44557</c:v>
                </c:pt>
                <c:pt idx="184">
                  <c:v>44561</c:v>
                </c:pt>
                <c:pt idx="185">
                  <c:v>44564</c:v>
                </c:pt>
                <c:pt idx="186">
                  <c:v>44571</c:v>
                </c:pt>
                <c:pt idx="187">
                  <c:v>44578</c:v>
                </c:pt>
                <c:pt idx="188">
                  <c:v>44585</c:v>
                </c:pt>
                <c:pt idx="189">
                  <c:v>44592</c:v>
                </c:pt>
                <c:pt idx="190">
                  <c:v>44599</c:v>
                </c:pt>
                <c:pt idx="191">
                  <c:v>44606</c:v>
                </c:pt>
                <c:pt idx="192">
                  <c:v>44613</c:v>
                </c:pt>
                <c:pt idx="193">
                  <c:v>44620</c:v>
                </c:pt>
                <c:pt idx="194">
                  <c:v>44627</c:v>
                </c:pt>
                <c:pt idx="195">
                  <c:v>44634</c:v>
                </c:pt>
                <c:pt idx="196">
                  <c:v>44641</c:v>
                </c:pt>
                <c:pt idx="197">
                  <c:v>44648</c:v>
                </c:pt>
                <c:pt idx="198">
                  <c:v>44651</c:v>
                </c:pt>
                <c:pt idx="199">
                  <c:v>44655</c:v>
                </c:pt>
                <c:pt idx="200">
                  <c:v>44662</c:v>
                </c:pt>
                <c:pt idx="201">
                  <c:v>44669</c:v>
                </c:pt>
                <c:pt idx="202">
                  <c:v>44676</c:v>
                </c:pt>
                <c:pt idx="203">
                  <c:v>44681</c:v>
                </c:pt>
                <c:pt idx="204">
                  <c:v>44690</c:v>
                </c:pt>
                <c:pt idx="205">
                  <c:v>44697</c:v>
                </c:pt>
                <c:pt idx="206">
                  <c:v>44704</c:v>
                </c:pt>
                <c:pt idx="207">
                  <c:v>44711</c:v>
                </c:pt>
                <c:pt idx="208">
                  <c:v>44712</c:v>
                </c:pt>
                <c:pt idx="209">
                  <c:v>44718</c:v>
                </c:pt>
                <c:pt idx="210">
                  <c:v>44725</c:v>
                </c:pt>
                <c:pt idx="211">
                  <c:v>44732</c:v>
                </c:pt>
                <c:pt idx="212">
                  <c:v>44739</c:v>
                </c:pt>
                <c:pt idx="213">
                  <c:v>44742</c:v>
                </c:pt>
                <c:pt idx="214">
                  <c:v>44746</c:v>
                </c:pt>
                <c:pt idx="215">
                  <c:v>44753</c:v>
                </c:pt>
                <c:pt idx="216">
                  <c:v>44760</c:v>
                </c:pt>
                <c:pt idx="217">
                  <c:v>44767</c:v>
                </c:pt>
                <c:pt idx="218">
                  <c:v>44773</c:v>
                </c:pt>
                <c:pt idx="219">
                  <c:v>44774</c:v>
                </c:pt>
                <c:pt idx="220">
                  <c:v>44781</c:v>
                </c:pt>
                <c:pt idx="221">
                  <c:v>44788</c:v>
                </c:pt>
                <c:pt idx="222">
                  <c:v>44795</c:v>
                </c:pt>
                <c:pt idx="223">
                  <c:v>44802</c:v>
                </c:pt>
                <c:pt idx="224">
                  <c:v>44804</c:v>
                </c:pt>
                <c:pt idx="225">
                  <c:v>44809</c:v>
                </c:pt>
                <c:pt idx="226">
                  <c:v>44816</c:v>
                </c:pt>
                <c:pt idx="227">
                  <c:v>44823</c:v>
                </c:pt>
                <c:pt idx="228">
                  <c:v>44830</c:v>
                </c:pt>
                <c:pt idx="229">
                  <c:v>44834</c:v>
                </c:pt>
                <c:pt idx="230">
                  <c:v>44837</c:v>
                </c:pt>
                <c:pt idx="231">
                  <c:v>44844</c:v>
                </c:pt>
                <c:pt idx="232">
                  <c:v>44851</c:v>
                </c:pt>
                <c:pt idx="233">
                  <c:v>44858</c:v>
                </c:pt>
                <c:pt idx="234">
                  <c:v>44865</c:v>
                </c:pt>
                <c:pt idx="235">
                  <c:v>44872</c:v>
                </c:pt>
                <c:pt idx="236">
                  <c:v>44879</c:v>
                </c:pt>
                <c:pt idx="237">
                  <c:v>44886</c:v>
                </c:pt>
                <c:pt idx="238">
                  <c:v>44893</c:v>
                </c:pt>
                <c:pt idx="239">
                  <c:v>44895</c:v>
                </c:pt>
                <c:pt idx="240">
                  <c:v>44900</c:v>
                </c:pt>
                <c:pt idx="241">
                  <c:v>44907</c:v>
                </c:pt>
                <c:pt idx="242">
                  <c:v>44914</c:v>
                </c:pt>
                <c:pt idx="243">
                  <c:v>44921</c:v>
                </c:pt>
                <c:pt idx="244">
                  <c:v>44926</c:v>
                </c:pt>
                <c:pt idx="245">
                  <c:v>44928</c:v>
                </c:pt>
                <c:pt idx="246">
                  <c:v>44935</c:v>
                </c:pt>
                <c:pt idx="247">
                  <c:v>44942</c:v>
                </c:pt>
                <c:pt idx="248">
                  <c:v>44956</c:v>
                </c:pt>
                <c:pt idx="249">
                  <c:v>44957</c:v>
                </c:pt>
                <c:pt idx="250">
                  <c:v>44963</c:v>
                </c:pt>
                <c:pt idx="251">
                  <c:v>44970</c:v>
                </c:pt>
                <c:pt idx="252">
                  <c:v>44977</c:v>
                </c:pt>
                <c:pt idx="253">
                  <c:v>44984</c:v>
                </c:pt>
                <c:pt idx="254">
                  <c:v>44985</c:v>
                </c:pt>
                <c:pt idx="255">
                  <c:v>44991</c:v>
                </c:pt>
                <c:pt idx="256">
                  <c:v>44998</c:v>
                </c:pt>
                <c:pt idx="257">
                  <c:v>45005</c:v>
                </c:pt>
                <c:pt idx="258">
                  <c:v>45012</c:v>
                </c:pt>
                <c:pt idx="259">
                  <c:v>45016</c:v>
                </c:pt>
                <c:pt idx="260">
                  <c:v>45019</c:v>
                </c:pt>
                <c:pt idx="261">
                  <c:v>45026</c:v>
                </c:pt>
                <c:pt idx="262">
                  <c:v>45033</c:v>
                </c:pt>
                <c:pt idx="263">
                  <c:v>45040</c:v>
                </c:pt>
                <c:pt idx="264">
                  <c:v>45046</c:v>
                </c:pt>
                <c:pt idx="265">
                  <c:v>45054</c:v>
                </c:pt>
                <c:pt idx="266">
                  <c:v>45061</c:v>
                </c:pt>
                <c:pt idx="267">
                  <c:v>45068</c:v>
                </c:pt>
                <c:pt idx="268">
                  <c:v>45075</c:v>
                </c:pt>
                <c:pt idx="269">
                  <c:v>45077</c:v>
                </c:pt>
                <c:pt idx="270">
                  <c:v>45082</c:v>
                </c:pt>
                <c:pt idx="271">
                  <c:v>45089</c:v>
                </c:pt>
                <c:pt idx="272">
                  <c:v>45096</c:v>
                </c:pt>
                <c:pt idx="273">
                  <c:v>45103</c:v>
                </c:pt>
                <c:pt idx="274">
                  <c:v>45107</c:v>
                </c:pt>
                <c:pt idx="275">
                  <c:v>45110</c:v>
                </c:pt>
                <c:pt idx="276">
                  <c:v>45117</c:v>
                </c:pt>
                <c:pt idx="277">
                  <c:v>45124</c:v>
                </c:pt>
                <c:pt idx="278">
                  <c:v>45131</c:v>
                </c:pt>
                <c:pt idx="279">
                  <c:v>45138</c:v>
                </c:pt>
                <c:pt idx="280">
                  <c:v>45145</c:v>
                </c:pt>
                <c:pt idx="281">
                  <c:v>45152</c:v>
                </c:pt>
                <c:pt idx="282">
                  <c:v>45159</c:v>
                </c:pt>
                <c:pt idx="283">
                  <c:v>45166</c:v>
                </c:pt>
                <c:pt idx="284">
                  <c:v>45169</c:v>
                </c:pt>
                <c:pt idx="285">
                  <c:v>45173</c:v>
                </c:pt>
                <c:pt idx="286">
                  <c:v>45180</c:v>
                </c:pt>
                <c:pt idx="287">
                  <c:v>45187</c:v>
                </c:pt>
                <c:pt idx="288">
                  <c:v>45194</c:v>
                </c:pt>
                <c:pt idx="289">
                  <c:v>45199</c:v>
                </c:pt>
                <c:pt idx="290">
                  <c:v>45201</c:v>
                </c:pt>
                <c:pt idx="291">
                  <c:v>45208</c:v>
                </c:pt>
                <c:pt idx="292">
                  <c:v>45215</c:v>
                </c:pt>
                <c:pt idx="293">
                  <c:v>45222</c:v>
                </c:pt>
                <c:pt idx="294">
                  <c:v>45229</c:v>
                </c:pt>
                <c:pt idx="295">
                  <c:v>45230</c:v>
                </c:pt>
                <c:pt idx="296">
                  <c:v>45236</c:v>
                </c:pt>
                <c:pt idx="297">
                  <c:v>45243</c:v>
                </c:pt>
                <c:pt idx="298">
                  <c:v>45250</c:v>
                </c:pt>
                <c:pt idx="299">
                  <c:v>45257</c:v>
                </c:pt>
                <c:pt idx="300">
                  <c:v>45260</c:v>
                </c:pt>
                <c:pt idx="301">
                  <c:v>45264</c:v>
                </c:pt>
                <c:pt idx="302">
                  <c:v>45271</c:v>
                </c:pt>
                <c:pt idx="303">
                  <c:v>45278</c:v>
                </c:pt>
                <c:pt idx="304">
                  <c:v>45285</c:v>
                </c:pt>
                <c:pt idx="305">
                  <c:v>45291</c:v>
                </c:pt>
              </c:numCache>
            </c:numRef>
          </c:cat>
          <c:val>
            <c:numRef>
              <c:f>Chart!$B$2:$B$307</c:f>
              <c:numCache>
                <c:formatCode>_(* #,##0.00_);_(* \(#,##0.00\);_(* "-"??_);_(@_)</c:formatCode>
                <c:ptCount val="306"/>
                <c:pt idx="0">
                  <c:v>10000</c:v>
                </c:pt>
                <c:pt idx="1">
                  <c:v>9992.2999999999993</c:v>
                </c:pt>
                <c:pt idx="2">
                  <c:v>9991.19</c:v>
                </c:pt>
                <c:pt idx="3">
                  <c:v>10031.6</c:v>
                </c:pt>
                <c:pt idx="4">
                  <c:v>10026.709999999999</c:v>
                </c:pt>
                <c:pt idx="5">
                  <c:v>10024.82</c:v>
                </c:pt>
                <c:pt idx="6">
                  <c:v>10146.44</c:v>
                </c:pt>
                <c:pt idx="7">
                  <c:v>10480.91</c:v>
                </c:pt>
                <c:pt idx="8">
                  <c:v>10819.48</c:v>
                </c:pt>
                <c:pt idx="9">
                  <c:v>10513.82</c:v>
                </c:pt>
                <c:pt idx="10">
                  <c:v>10801.75</c:v>
                </c:pt>
                <c:pt idx="11">
                  <c:v>10676.76</c:v>
                </c:pt>
                <c:pt idx="12">
                  <c:v>10935.86</c:v>
                </c:pt>
                <c:pt idx="13">
                  <c:v>10446.26</c:v>
                </c:pt>
                <c:pt idx="14">
                  <c:v>10546.99</c:v>
                </c:pt>
                <c:pt idx="15">
                  <c:v>10628.43</c:v>
                </c:pt>
                <c:pt idx="16">
                  <c:v>10748.23</c:v>
                </c:pt>
                <c:pt idx="17">
                  <c:v>10576.43</c:v>
                </c:pt>
                <c:pt idx="18">
                  <c:v>10356.799999999999</c:v>
                </c:pt>
                <c:pt idx="19">
                  <c:v>10509.38</c:v>
                </c:pt>
                <c:pt idx="20">
                  <c:v>10323.57</c:v>
                </c:pt>
                <c:pt idx="21">
                  <c:v>10370.69</c:v>
                </c:pt>
                <c:pt idx="22">
                  <c:v>10711.46</c:v>
                </c:pt>
                <c:pt idx="23">
                  <c:v>10582.33</c:v>
                </c:pt>
                <c:pt idx="24">
                  <c:v>10410.08</c:v>
                </c:pt>
                <c:pt idx="25">
                  <c:v>10249.77</c:v>
                </c:pt>
                <c:pt idx="26">
                  <c:v>10428.08</c:v>
                </c:pt>
                <c:pt idx="27">
                  <c:v>10252.709999999999</c:v>
                </c:pt>
                <c:pt idx="28">
                  <c:v>10418.84</c:v>
                </c:pt>
                <c:pt idx="29">
                  <c:v>10280.200000000001</c:v>
                </c:pt>
                <c:pt idx="30">
                  <c:v>10439.33</c:v>
                </c:pt>
                <c:pt idx="31">
                  <c:v>10420.01</c:v>
                </c:pt>
                <c:pt idx="32">
                  <c:v>10528.38</c:v>
                </c:pt>
                <c:pt idx="33">
                  <c:v>10632.76</c:v>
                </c:pt>
                <c:pt idx="34">
                  <c:v>10741.3</c:v>
                </c:pt>
                <c:pt idx="35">
                  <c:v>10679.88</c:v>
                </c:pt>
                <c:pt idx="36">
                  <c:v>10519.79</c:v>
                </c:pt>
                <c:pt idx="37">
                  <c:v>10604.96</c:v>
                </c:pt>
                <c:pt idx="38">
                  <c:v>10676.57</c:v>
                </c:pt>
                <c:pt idx="39">
                  <c:v>10687.35</c:v>
                </c:pt>
                <c:pt idx="40">
                  <c:v>10707.67</c:v>
                </c:pt>
                <c:pt idx="41">
                  <c:v>10706.04</c:v>
                </c:pt>
                <c:pt idx="42">
                  <c:v>10603.64</c:v>
                </c:pt>
                <c:pt idx="43">
                  <c:v>10846.86</c:v>
                </c:pt>
                <c:pt idx="44">
                  <c:v>10805.96</c:v>
                </c:pt>
                <c:pt idx="45">
                  <c:v>10933.76</c:v>
                </c:pt>
                <c:pt idx="46">
                  <c:v>10743.09</c:v>
                </c:pt>
                <c:pt idx="47">
                  <c:v>10858.6</c:v>
                </c:pt>
                <c:pt idx="48">
                  <c:v>10730.1</c:v>
                </c:pt>
                <c:pt idx="49">
                  <c:v>10892.01</c:v>
                </c:pt>
                <c:pt idx="50">
                  <c:v>10873.25</c:v>
                </c:pt>
                <c:pt idx="51">
                  <c:v>11121.66</c:v>
                </c:pt>
                <c:pt idx="52">
                  <c:v>11071.6</c:v>
                </c:pt>
                <c:pt idx="53">
                  <c:v>10866.46</c:v>
                </c:pt>
                <c:pt idx="54">
                  <c:v>10559.76</c:v>
                </c:pt>
                <c:pt idx="55">
                  <c:v>10473.81</c:v>
                </c:pt>
                <c:pt idx="56">
                  <c:v>10333.879999999999</c:v>
                </c:pt>
                <c:pt idx="57">
                  <c:v>10418.870000000001</c:v>
                </c:pt>
                <c:pt idx="58">
                  <c:v>10388</c:v>
                </c:pt>
                <c:pt idx="59">
                  <c:v>10370.52</c:v>
                </c:pt>
                <c:pt idx="60">
                  <c:v>10468.6</c:v>
                </c:pt>
                <c:pt idx="61">
                  <c:v>10438.11</c:v>
                </c:pt>
                <c:pt idx="62">
                  <c:v>10356.969999999999</c:v>
                </c:pt>
                <c:pt idx="63">
                  <c:v>10460.469999999999</c:v>
                </c:pt>
                <c:pt idx="64">
                  <c:v>10692.26</c:v>
                </c:pt>
                <c:pt idx="65">
                  <c:v>10156.469999999999</c:v>
                </c:pt>
                <c:pt idx="66">
                  <c:v>10094.15</c:v>
                </c:pt>
                <c:pt idx="67">
                  <c:v>10152.709999999999</c:v>
                </c:pt>
                <c:pt idx="68">
                  <c:v>10310.08</c:v>
                </c:pt>
                <c:pt idx="69">
                  <c:v>9887.2000000000007</c:v>
                </c:pt>
                <c:pt idx="70">
                  <c:v>9802.51</c:v>
                </c:pt>
                <c:pt idx="71">
                  <c:v>9839.92</c:v>
                </c:pt>
                <c:pt idx="72">
                  <c:v>9254.26</c:v>
                </c:pt>
                <c:pt idx="73">
                  <c:v>8298.69</c:v>
                </c:pt>
                <c:pt idx="74">
                  <c:v>7629.74</c:v>
                </c:pt>
                <c:pt idx="75">
                  <c:v>7514.58</c:v>
                </c:pt>
                <c:pt idx="76">
                  <c:v>7497.48</c:v>
                </c:pt>
                <c:pt idx="77">
                  <c:v>8228.1200000000008</c:v>
                </c:pt>
                <c:pt idx="78">
                  <c:v>8365.27</c:v>
                </c:pt>
                <c:pt idx="79">
                  <c:v>8702.77</c:v>
                </c:pt>
                <c:pt idx="80">
                  <c:v>8534.67</c:v>
                </c:pt>
                <c:pt idx="81">
                  <c:v>8538.24</c:v>
                </c:pt>
                <c:pt idx="82">
                  <c:v>8434.6</c:v>
                </c:pt>
                <c:pt idx="83">
                  <c:v>9088.49</c:v>
                </c:pt>
                <c:pt idx="84">
                  <c:v>9254.3799999999992</c:v>
                </c:pt>
                <c:pt idx="85">
                  <c:v>9488.9699999999993</c:v>
                </c:pt>
                <c:pt idx="86">
                  <c:v>9513.0400000000009</c:v>
                </c:pt>
                <c:pt idx="87">
                  <c:v>9700.34</c:v>
                </c:pt>
                <c:pt idx="88">
                  <c:v>9948.25</c:v>
                </c:pt>
                <c:pt idx="89">
                  <c:v>9257.5400000000009</c:v>
                </c:pt>
                <c:pt idx="90">
                  <c:v>9597.98</c:v>
                </c:pt>
                <c:pt idx="91">
                  <c:v>9169.09</c:v>
                </c:pt>
                <c:pt idx="92">
                  <c:v>9094.67</c:v>
                </c:pt>
                <c:pt idx="93">
                  <c:v>9447.0300000000007</c:v>
                </c:pt>
                <c:pt idx="94">
                  <c:v>9535.6</c:v>
                </c:pt>
                <c:pt idx="95">
                  <c:v>9504.52</c:v>
                </c:pt>
                <c:pt idx="96">
                  <c:v>8633.51</c:v>
                </c:pt>
                <c:pt idx="97">
                  <c:v>8771.5</c:v>
                </c:pt>
                <c:pt idx="98">
                  <c:v>8953.26</c:v>
                </c:pt>
                <c:pt idx="99">
                  <c:v>9245.3799999999992</c:v>
                </c:pt>
                <c:pt idx="100">
                  <c:v>9375.7900000000009</c:v>
                </c:pt>
                <c:pt idx="101">
                  <c:v>9669.7800000000007</c:v>
                </c:pt>
                <c:pt idx="102">
                  <c:v>9803.31</c:v>
                </c:pt>
                <c:pt idx="103">
                  <c:v>9786.57</c:v>
                </c:pt>
                <c:pt idx="104">
                  <c:v>9928.66</c:v>
                </c:pt>
                <c:pt idx="105">
                  <c:v>10099.709999999999</c:v>
                </c:pt>
                <c:pt idx="106">
                  <c:v>10254.01</c:v>
                </c:pt>
                <c:pt idx="107">
                  <c:v>10217.19</c:v>
                </c:pt>
                <c:pt idx="108">
                  <c:v>10340.35</c:v>
                </c:pt>
                <c:pt idx="109">
                  <c:v>10416.69</c:v>
                </c:pt>
                <c:pt idx="110">
                  <c:v>10716.71</c:v>
                </c:pt>
                <c:pt idx="111">
                  <c:v>10746.58</c:v>
                </c:pt>
                <c:pt idx="112">
                  <c:v>10441.709999999999</c:v>
                </c:pt>
                <c:pt idx="113">
                  <c:v>10529.24</c:v>
                </c:pt>
                <c:pt idx="114">
                  <c:v>10737.66</c:v>
                </c:pt>
                <c:pt idx="115">
                  <c:v>10772.63</c:v>
                </c:pt>
                <c:pt idx="116">
                  <c:v>11288.74</c:v>
                </c:pt>
                <c:pt idx="117">
                  <c:v>11379.88</c:v>
                </c:pt>
                <c:pt idx="118">
                  <c:v>11680.35</c:v>
                </c:pt>
                <c:pt idx="119">
                  <c:v>12066.47</c:v>
                </c:pt>
                <c:pt idx="120">
                  <c:v>12344</c:v>
                </c:pt>
                <c:pt idx="121">
                  <c:v>12471.54</c:v>
                </c:pt>
                <c:pt idx="122">
                  <c:v>12627.67</c:v>
                </c:pt>
                <c:pt idx="123">
                  <c:v>12833.29</c:v>
                </c:pt>
                <c:pt idx="124">
                  <c:v>13574.44</c:v>
                </c:pt>
                <c:pt idx="125">
                  <c:v>13694.14</c:v>
                </c:pt>
                <c:pt idx="126">
                  <c:v>13450.01</c:v>
                </c:pt>
                <c:pt idx="127">
                  <c:v>12186.82</c:v>
                </c:pt>
                <c:pt idx="128">
                  <c:v>11909.83</c:v>
                </c:pt>
                <c:pt idx="129">
                  <c:v>12505.19</c:v>
                </c:pt>
                <c:pt idx="130">
                  <c:v>13580.27</c:v>
                </c:pt>
                <c:pt idx="131">
                  <c:v>13472.15</c:v>
                </c:pt>
                <c:pt idx="132">
                  <c:v>13690.92</c:v>
                </c:pt>
                <c:pt idx="133">
                  <c:v>13478.02</c:v>
                </c:pt>
                <c:pt idx="134">
                  <c:v>13645.76</c:v>
                </c:pt>
                <c:pt idx="135">
                  <c:v>13749.63</c:v>
                </c:pt>
                <c:pt idx="136">
                  <c:v>13437.27</c:v>
                </c:pt>
                <c:pt idx="137">
                  <c:v>13606.1</c:v>
                </c:pt>
                <c:pt idx="138">
                  <c:v>14122.3</c:v>
                </c:pt>
                <c:pt idx="139">
                  <c:v>14287.13</c:v>
                </c:pt>
                <c:pt idx="140">
                  <c:v>14297.33</c:v>
                </c:pt>
                <c:pt idx="141">
                  <c:v>13781.18</c:v>
                </c:pt>
                <c:pt idx="142">
                  <c:v>14073.93</c:v>
                </c:pt>
                <c:pt idx="143">
                  <c:v>14071.29</c:v>
                </c:pt>
                <c:pt idx="144">
                  <c:v>14362.5</c:v>
                </c:pt>
                <c:pt idx="145">
                  <c:v>14382.06</c:v>
                </c:pt>
                <c:pt idx="146">
                  <c:v>14888.78</c:v>
                </c:pt>
                <c:pt idx="147">
                  <c:v>15396.88</c:v>
                </c:pt>
                <c:pt idx="148">
                  <c:v>15704.45</c:v>
                </c:pt>
                <c:pt idx="149">
                  <c:v>15690.62</c:v>
                </c:pt>
                <c:pt idx="150">
                  <c:v>15844.08</c:v>
                </c:pt>
                <c:pt idx="151">
                  <c:v>16226.96</c:v>
                </c:pt>
                <c:pt idx="152">
                  <c:v>16198.36</c:v>
                </c:pt>
                <c:pt idx="153">
                  <c:v>16283.77</c:v>
                </c:pt>
                <c:pt idx="154">
                  <c:v>15104.24</c:v>
                </c:pt>
                <c:pt idx="155">
                  <c:v>14479.49</c:v>
                </c:pt>
                <c:pt idx="156">
                  <c:v>14750.07</c:v>
                </c:pt>
                <c:pt idx="157">
                  <c:v>15268.6</c:v>
                </c:pt>
                <c:pt idx="158">
                  <c:v>15324.16</c:v>
                </c:pt>
                <c:pt idx="159">
                  <c:v>15863.2</c:v>
                </c:pt>
                <c:pt idx="160">
                  <c:v>15928.09</c:v>
                </c:pt>
                <c:pt idx="161">
                  <c:v>15091.89</c:v>
                </c:pt>
                <c:pt idx="162">
                  <c:v>15397.33</c:v>
                </c:pt>
                <c:pt idx="163">
                  <c:v>15424.89</c:v>
                </c:pt>
                <c:pt idx="164">
                  <c:v>15595.53</c:v>
                </c:pt>
                <c:pt idx="165">
                  <c:v>15479.43</c:v>
                </c:pt>
                <c:pt idx="166">
                  <c:v>15576.92</c:v>
                </c:pt>
                <c:pt idx="167">
                  <c:v>15253.76</c:v>
                </c:pt>
                <c:pt idx="168">
                  <c:v>15507.66</c:v>
                </c:pt>
                <c:pt idx="169">
                  <c:v>15520.93</c:v>
                </c:pt>
                <c:pt idx="170">
                  <c:v>16092.57</c:v>
                </c:pt>
                <c:pt idx="171">
                  <c:v>16141.47</c:v>
                </c:pt>
                <c:pt idx="172">
                  <c:v>15922.71</c:v>
                </c:pt>
                <c:pt idx="173">
                  <c:v>16517.490000000002</c:v>
                </c:pt>
                <c:pt idx="174">
                  <c:v>16357.25</c:v>
                </c:pt>
                <c:pt idx="175">
                  <c:v>16605.09</c:v>
                </c:pt>
                <c:pt idx="176">
                  <c:v>16593.849999999999</c:v>
                </c:pt>
                <c:pt idx="177">
                  <c:v>16150.11</c:v>
                </c:pt>
                <c:pt idx="178">
                  <c:v>16531.75</c:v>
                </c:pt>
                <c:pt idx="179">
                  <c:v>16450.310000000001</c:v>
                </c:pt>
                <c:pt idx="180">
                  <c:v>15721.71</c:v>
                </c:pt>
                <c:pt idx="181">
                  <c:v>16288.83</c:v>
                </c:pt>
                <c:pt idx="182">
                  <c:v>16268.8</c:v>
                </c:pt>
                <c:pt idx="183">
                  <c:v>16308.77</c:v>
                </c:pt>
                <c:pt idx="184">
                  <c:v>16422.82</c:v>
                </c:pt>
                <c:pt idx="185">
                  <c:v>16419.97</c:v>
                </c:pt>
                <c:pt idx="186">
                  <c:v>16318.11</c:v>
                </c:pt>
                <c:pt idx="187">
                  <c:v>15836.64</c:v>
                </c:pt>
                <c:pt idx="188">
                  <c:v>15728.33</c:v>
                </c:pt>
                <c:pt idx="189">
                  <c:v>16192.62</c:v>
                </c:pt>
                <c:pt idx="190">
                  <c:v>16400.7</c:v>
                </c:pt>
                <c:pt idx="191">
                  <c:v>16166.87</c:v>
                </c:pt>
                <c:pt idx="192">
                  <c:v>16535.45</c:v>
                </c:pt>
                <c:pt idx="193">
                  <c:v>16440.740000000002</c:v>
                </c:pt>
                <c:pt idx="194">
                  <c:v>16672.46</c:v>
                </c:pt>
                <c:pt idx="195">
                  <c:v>15847.12</c:v>
                </c:pt>
                <c:pt idx="196">
                  <c:v>16290.4</c:v>
                </c:pt>
                <c:pt idx="197">
                  <c:v>16236.03</c:v>
                </c:pt>
                <c:pt idx="198">
                  <c:v>16386.509999999998</c:v>
                </c:pt>
                <c:pt idx="199">
                  <c:v>16789.71</c:v>
                </c:pt>
                <c:pt idx="200">
                  <c:v>16327.84</c:v>
                </c:pt>
                <c:pt idx="201">
                  <c:v>16070.14</c:v>
                </c:pt>
                <c:pt idx="202">
                  <c:v>14630.61</c:v>
                </c:pt>
                <c:pt idx="203">
                  <c:v>15214.66</c:v>
                </c:pt>
                <c:pt idx="204">
                  <c:v>14159.85</c:v>
                </c:pt>
                <c:pt idx="205">
                  <c:v>13014.08</c:v>
                </c:pt>
                <c:pt idx="206">
                  <c:v>13657.73</c:v>
                </c:pt>
                <c:pt idx="207">
                  <c:v>14724.28</c:v>
                </c:pt>
                <c:pt idx="208">
                  <c:v>14715.84</c:v>
                </c:pt>
                <c:pt idx="209">
                  <c:v>15044.47</c:v>
                </c:pt>
                <c:pt idx="210">
                  <c:v>14066.18</c:v>
                </c:pt>
                <c:pt idx="211">
                  <c:v>14037.45</c:v>
                </c:pt>
                <c:pt idx="212">
                  <c:v>13973.95</c:v>
                </c:pt>
                <c:pt idx="213">
                  <c:v>13856.48</c:v>
                </c:pt>
                <c:pt idx="214">
                  <c:v>13809.48</c:v>
                </c:pt>
                <c:pt idx="215">
                  <c:v>13274.42</c:v>
                </c:pt>
                <c:pt idx="216">
                  <c:v>13529.64</c:v>
                </c:pt>
                <c:pt idx="217">
                  <c:v>13660.17</c:v>
                </c:pt>
                <c:pt idx="218">
                  <c:v>13859</c:v>
                </c:pt>
                <c:pt idx="219">
                  <c:v>14187.79</c:v>
                </c:pt>
                <c:pt idx="220">
                  <c:v>14416.16</c:v>
                </c:pt>
                <c:pt idx="221">
                  <c:v>14582.84</c:v>
                </c:pt>
                <c:pt idx="222">
                  <c:v>14413.71</c:v>
                </c:pt>
                <c:pt idx="223">
                  <c:v>14701.53</c:v>
                </c:pt>
                <c:pt idx="224">
                  <c:v>14781.95</c:v>
                </c:pt>
                <c:pt idx="225">
                  <c:v>14814.45</c:v>
                </c:pt>
                <c:pt idx="226">
                  <c:v>14470.75</c:v>
                </c:pt>
                <c:pt idx="227">
                  <c:v>13865.75</c:v>
                </c:pt>
                <c:pt idx="228">
                  <c:v>13547.76</c:v>
                </c:pt>
                <c:pt idx="229">
                  <c:v>13168.95</c:v>
                </c:pt>
                <c:pt idx="230">
                  <c:v>12610.71</c:v>
                </c:pt>
                <c:pt idx="231">
                  <c:v>12210.86</c:v>
                </c:pt>
                <c:pt idx="232">
                  <c:v>12671.04</c:v>
                </c:pt>
                <c:pt idx="233">
                  <c:v>11796.59</c:v>
                </c:pt>
                <c:pt idx="234">
                  <c:v>12430.84</c:v>
                </c:pt>
                <c:pt idx="235">
                  <c:v>11878.11</c:v>
                </c:pt>
                <c:pt idx="236">
                  <c:v>11505.8</c:v>
                </c:pt>
                <c:pt idx="237">
                  <c:v>11501.69</c:v>
                </c:pt>
                <c:pt idx="238">
                  <c:v>12135.15</c:v>
                </c:pt>
                <c:pt idx="239">
                  <c:v>12529.57</c:v>
                </c:pt>
                <c:pt idx="240">
                  <c:v>12979.93</c:v>
                </c:pt>
                <c:pt idx="241">
                  <c:v>12504.06</c:v>
                </c:pt>
                <c:pt idx="242">
                  <c:v>12583.76</c:v>
                </c:pt>
                <c:pt idx="243">
                  <c:v>12057.58</c:v>
                </c:pt>
                <c:pt idx="244">
                  <c:v>12299.93</c:v>
                </c:pt>
                <c:pt idx="245">
                  <c:v>12298.45</c:v>
                </c:pt>
                <c:pt idx="246">
                  <c:v>12737.19</c:v>
                </c:pt>
                <c:pt idx="247">
                  <c:v>12820.47</c:v>
                </c:pt>
                <c:pt idx="248">
                  <c:v>13232.68</c:v>
                </c:pt>
                <c:pt idx="249">
                  <c:v>13363.38</c:v>
                </c:pt>
                <c:pt idx="250">
                  <c:v>13099.74</c:v>
                </c:pt>
                <c:pt idx="251">
                  <c:v>12654.34</c:v>
                </c:pt>
                <c:pt idx="252">
                  <c:v>13199.7</c:v>
                </c:pt>
                <c:pt idx="253">
                  <c:v>12414.16</c:v>
                </c:pt>
                <c:pt idx="254">
                  <c:v>12456.75</c:v>
                </c:pt>
                <c:pt idx="255">
                  <c:v>12463.81</c:v>
                </c:pt>
                <c:pt idx="256">
                  <c:v>12714.18</c:v>
                </c:pt>
                <c:pt idx="257">
                  <c:v>12323.24</c:v>
                </c:pt>
                <c:pt idx="258">
                  <c:v>12613.16</c:v>
                </c:pt>
                <c:pt idx="259">
                  <c:v>12704.64</c:v>
                </c:pt>
                <c:pt idx="260">
                  <c:v>12872.12</c:v>
                </c:pt>
                <c:pt idx="261">
                  <c:v>12737.82</c:v>
                </c:pt>
                <c:pt idx="262">
                  <c:v>12595.15</c:v>
                </c:pt>
                <c:pt idx="263">
                  <c:v>12419.79</c:v>
                </c:pt>
                <c:pt idx="264">
                  <c:v>12514.69</c:v>
                </c:pt>
                <c:pt idx="265">
                  <c:v>12573.15</c:v>
                </c:pt>
                <c:pt idx="266">
                  <c:v>12645.86</c:v>
                </c:pt>
                <c:pt idx="267">
                  <c:v>12690.73</c:v>
                </c:pt>
                <c:pt idx="268">
                  <c:v>12670.93</c:v>
                </c:pt>
                <c:pt idx="269">
                  <c:v>12688.81</c:v>
                </c:pt>
                <c:pt idx="270">
                  <c:v>12963.13</c:v>
                </c:pt>
                <c:pt idx="271">
                  <c:v>13075.34</c:v>
                </c:pt>
                <c:pt idx="272">
                  <c:v>13027.02</c:v>
                </c:pt>
                <c:pt idx="273">
                  <c:v>13378.04</c:v>
                </c:pt>
                <c:pt idx="274">
                  <c:v>13315.12</c:v>
                </c:pt>
                <c:pt idx="275">
                  <c:v>13368.95</c:v>
                </c:pt>
                <c:pt idx="276">
                  <c:v>13668.09</c:v>
                </c:pt>
                <c:pt idx="277">
                  <c:v>13898.44</c:v>
                </c:pt>
                <c:pt idx="278">
                  <c:v>14113.87</c:v>
                </c:pt>
                <c:pt idx="279">
                  <c:v>14508.84</c:v>
                </c:pt>
                <c:pt idx="280">
                  <c:v>14544.88</c:v>
                </c:pt>
                <c:pt idx="281">
                  <c:v>14345.88</c:v>
                </c:pt>
                <c:pt idx="282">
                  <c:v>13894.24</c:v>
                </c:pt>
                <c:pt idx="283">
                  <c:v>14188.42</c:v>
                </c:pt>
                <c:pt idx="284">
                  <c:v>14550.66</c:v>
                </c:pt>
                <c:pt idx="285">
                  <c:v>14547.33</c:v>
                </c:pt>
                <c:pt idx="286">
                  <c:v>14664.51</c:v>
                </c:pt>
                <c:pt idx="287">
                  <c:v>14623.49</c:v>
                </c:pt>
                <c:pt idx="288">
                  <c:v>14048.41</c:v>
                </c:pt>
                <c:pt idx="289">
                  <c:v>14057.12</c:v>
                </c:pt>
                <c:pt idx="290">
                  <c:v>14065.08</c:v>
                </c:pt>
                <c:pt idx="291">
                  <c:v>13913.04</c:v>
                </c:pt>
                <c:pt idx="292">
                  <c:v>14069.14</c:v>
                </c:pt>
                <c:pt idx="293">
                  <c:v>13440.23</c:v>
                </c:pt>
                <c:pt idx="294">
                  <c:v>12861.96</c:v>
                </c:pt>
                <c:pt idx="295">
                  <c:v>12710.1</c:v>
                </c:pt>
                <c:pt idx="296">
                  <c:v>13410.04</c:v>
                </c:pt>
                <c:pt idx="297">
                  <c:v>13624.87</c:v>
                </c:pt>
                <c:pt idx="298">
                  <c:v>13649.38</c:v>
                </c:pt>
                <c:pt idx="299">
                  <c:v>13444.92</c:v>
                </c:pt>
                <c:pt idx="300">
                  <c:v>13523.48</c:v>
                </c:pt>
                <c:pt idx="301">
                  <c:v>13817.2</c:v>
                </c:pt>
                <c:pt idx="302">
                  <c:v>13850.87</c:v>
                </c:pt>
                <c:pt idx="303">
                  <c:v>13461.22</c:v>
                </c:pt>
                <c:pt idx="304">
                  <c:v>13747.21</c:v>
                </c:pt>
                <c:pt idx="305">
                  <c:v>13891.27</c:v>
                </c:pt>
              </c:numCache>
            </c:numRef>
          </c:val>
          <c:smooth val="0"/>
          <c:extLst>
            <c:ext xmlns:c16="http://schemas.microsoft.com/office/drawing/2014/chart" uri="{C3380CC4-5D6E-409C-BE32-E72D297353CC}">
              <c16:uniqueId val="{00000001-E401-46C3-86DB-EE8D198F3A6B}"/>
            </c:ext>
          </c:extLst>
        </c:ser>
        <c:dLbls>
          <c:showLegendKey val="0"/>
          <c:showVal val="0"/>
          <c:showCatName val="0"/>
          <c:showSerName val="0"/>
          <c:showPercent val="0"/>
          <c:showBubbleSize val="0"/>
        </c:dLbls>
        <c:smooth val="0"/>
        <c:axId val="528596872"/>
        <c:axId val="518169832"/>
      </c:lineChart>
      <c:dateAx>
        <c:axId val="528596872"/>
        <c:scaling>
          <c:orientation val="minMax"/>
          <c:min val="43465"/>
        </c:scaling>
        <c:delete val="0"/>
        <c:axPos val="b"/>
        <c:numFmt formatCode="m/d/yyyy"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in val="700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28596872"/>
        <c:crosses val="autoZero"/>
        <c:crossBetween val="between"/>
        <c:majorUnit val="500"/>
        <c:minorUnit val="5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0XD0ukQCrV3VbBtI+g5nktBDnM8=</DigestValue>
    </Reference>
    <Reference Type="http://www.w3.org/2000/09/xmldsig#Object" URI="#idOfficeObject">
      <DigestMethod Algorithm="http://www.w3.org/2000/09/xmldsig#sha1"/>
      <DigestValue>YcmIlQqTZE41EJFT6EIVUharpQA=</DigestValue>
    </Reference>
    <Reference Type="http://uri.etsi.org/01903#SignedProperties" URI="#idSignedProperties">
      <Transforms>
        <Transform Algorithm="http://www.w3.org/TR/2001/REC-xml-c14n-20010315"/>
      </Transforms>
      <DigestMethod Algorithm="http://www.w3.org/2000/09/xmldsig#sha1"/>
      <DigestValue>u363ixap4rVW3qg1UzmsncWbo0s=</DigestValue>
    </Reference>
  </SignedInfo>
  <SignatureValue>jgMhAj56G6zTNzOV6tSviJu037Sh9dRffTRRdKDojaZWSyU0H88E4AzlMl0V4ygxrMHKff31o2N2
kfabaokMa5+11nx5YUABSFaMWhmwL6VCldX2sfD03oRiexSVS9R9qfn3tB2ZPr3t8m8Jo6fJK1Mg
O/nHxnuTA5G8Ob/tiT8=</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SO4F7Assp4Ael4wrXBoNSvj+j3I=</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0/09/xmldsig#sha1"/>
        <DigestValue>X294+YKvXxHbQ9qh4iRERxl2eB0=</DigestValue>
      </Reference>
      <Reference URI="/word/charts/chart1.xml?ContentType=application/vnd.openxmlformats-officedocument.drawingml.chart+xml">
        <DigestMethod Algorithm="http://www.w3.org/2000/09/xmldsig#sha1"/>
        <DigestValue>c+AttiQk33tSST4oSA1PmzmY1zM=</DigestValue>
      </Reference>
      <Reference URI="/word/charts/colors1.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8PHKFwaqhibGMwuJoOqre3c5hUY=</DigestValue>
      </Reference>
      <Reference URI="/word/document.xml?ContentType=application/vnd.openxmlformats-officedocument.wordprocessingml.document.main+xml">
        <DigestMethod Algorithm="http://www.w3.org/2000/09/xmldsig#sha1"/>
        <DigestValue>3oqECX0wKNixgjfl1XcGE/fB4CY=</DigestValue>
      </Reference>
      <Reference URI="/word/fontTable.xml?ContentType=application/vnd.openxmlformats-officedocument.wordprocessingml.fontTable+xml">
        <DigestMethod Algorithm="http://www.w3.org/2000/09/xmldsig#sha1"/>
        <DigestValue>VQdo42NDWzc9A/wu/xE5k3HwwVU=</DigestValue>
      </Reference>
      <Reference URI="/word/media/image1.png?ContentType=image/png">
        <DigestMethod Algorithm="http://www.w3.org/2000/09/xmldsig#sha1"/>
        <DigestValue>TRgcw06YjPujgEmIeaNbkgBVxNk=</DigestValue>
      </Reference>
      <Reference URI="/word/numbering.xml?ContentType=application/vnd.openxmlformats-officedocument.wordprocessingml.numbering+xml">
        <DigestMethod Algorithm="http://www.w3.org/2000/09/xmldsig#sha1"/>
        <DigestValue>LAs0HVY4DHRnBBAy41kGbas3qbQ=</DigestValue>
      </Reference>
      <Reference URI="/word/settings.xml?ContentType=application/vnd.openxmlformats-officedocument.wordprocessingml.settings+xml">
        <DigestMethod Algorithm="http://www.w3.org/2000/09/xmldsig#sha1"/>
        <DigestValue>fM8Ba7cM7URf3yYXCt+dTB6lH6U=</DigestValue>
      </Reference>
      <Reference URI="/word/styles.xml?ContentType=application/vnd.openxmlformats-officedocument.wordprocessingml.styles+xml">
        <DigestMethod Algorithm="http://www.w3.org/2000/09/xmldsig#sha1"/>
        <DigestValue>1x8mGOfblBHbe2EKoaGL/hCM/p0=</DigestValue>
      </Reference>
      <Reference URI="/word/theme/theme1.xml?ContentType=application/vnd.openxmlformats-officedocument.theme+xml">
        <DigestMethod Algorithm="http://www.w3.org/2000/09/xmldsig#sha1"/>
        <DigestValue>9cuoplDWramNFw8bIgmNk7j/iHk=</DigestValue>
      </Reference>
      <Reference URI="/word/webSettings.xml?ContentType=application/vnd.openxmlformats-officedocument.wordprocessingml.webSettings+xml">
        <DigestMethod Algorithm="http://www.w3.org/2000/09/xmldsig#sha1"/>
        <DigestValue>LjhK9z56oPS+bEfN2P/9uiTyJZU=</DigestValue>
      </Reference>
    </Manifest>
    <SignatureProperties>
      <SignatureProperty Id="idSignatureTime" Target="#idPackageSignature">
        <mdssi:SignatureTime xmlns:mdssi="http://schemas.openxmlformats.org/package/2006/digital-signature">
          <mdssi:Format>YYYY-MM-DDThh:mm:ssTZD</mdssi:Format>
          <mdssi:Value>2024-01-15T10:46:10Z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16.0.17126/26</OfficeVersion>
          <ApplicationVersion>16.0.17126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2024-01-15T10:46:10Z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720F-C33C-4F05-936E-8B6484A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Pages>
  <Words>3870</Words>
  <Characters>22059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27</cp:revision>
  <dcterms:created xsi:type="dcterms:W3CDTF">2023-04-13T06:51:00Z</dcterms:created>
  <dcterms:modified xsi:type="dcterms:W3CDTF">2024-01-15T10:44:00Z</dcterms:modified>
</cp:coreProperties>
</file>