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B396EFC"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461C0">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7B17236C"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1330F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A44447" w:rsidRPr="001330FC">
        <w:rPr>
          <w:rFonts w:ascii="Times New Roman" w:hAnsi="Times New Roman"/>
          <w:b/>
          <w:sz w:val="24"/>
          <w:szCs w:val="24"/>
          <w:lang w:val="nl-NL"/>
        </w:rPr>
        <w:t>1.</w:t>
      </w:r>
      <w:r w:rsidRPr="001330FC">
        <w:rPr>
          <w:rFonts w:ascii="Times New Roman" w:hAnsi="Times New Roman"/>
          <w:b/>
          <w:sz w:val="24"/>
          <w:szCs w:val="24"/>
          <w:lang w:val="nl-NL"/>
        </w:rPr>
        <w:t xml:space="preserve"> Mục tiêu của Quỹ:</w:t>
      </w:r>
    </w:p>
    <w:p w14:paraId="1EDD510C" w14:textId="77777777" w:rsidR="00A44447" w:rsidRPr="001330F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2. Hiệu quả hoạt động của Quỹ:</w:t>
      </w:r>
    </w:p>
    <w:p w14:paraId="0E1F1D42" w14:textId="5CDEA22A" w:rsidR="0095587A" w:rsidRPr="001330F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Tính đến cuối kỳ báo cáo, thay đổi giá trị tài sản ròng (NAV) của Quỹ là 3.55% so với giá trị tài sản ròng của quỹ đầu kỳ báo cáo.</w:t>
      </w:r>
    </w:p>
    <w:p w14:paraId="0CB40711" w14:textId="655F2519"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3. Chính sách và chiến lược đầu tư của Quỹ:</w:t>
      </w:r>
    </w:p>
    <w:p w14:paraId="6DFC5489"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Chiến lược đầu tư:</w:t>
      </w:r>
    </w:p>
    <w:p w14:paraId="55D6ED67" w14:textId="2A9939E5"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Là công ty trong nhóm dẫn đầu ngành nghề kinh doanh;</w:t>
      </w:r>
    </w:p>
    <w:p w14:paraId="0C6DD558" w14:textId="62FC21C7"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tình trạng tài chính lành mạnh;</w:t>
      </w:r>
    </w:p>
    <w:p w14:paraId="6C9E3981" w14:textId="668CE93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dòng tiền ổn định, chất lượng tài sản tốt; và</w:t>
      </w:r>
    </w:p>
    <w:p w14:paraId="0D10EDF9" w14:textId="38A7A6F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hệ thống quản trị doanh nghiệp tin cậy.</w:t>
      </w:r>
    </w:p>
    <w:p w14:paraId="7B2DE438" w14:textId="534EE24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3AE59F8E" w14:textId="34E49D2F"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Cổ phiếu chào bán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60AC1AC3"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6. Mức độ rủi ro ngắn hạn (thấp, trung bình, cao):</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1330F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b/>
          <w:sz w:val="24"/>
          <w:szCs w:val="24"/>
          <w:lang w:val="nl-NL"/>
        </w:rPr>
        <w:lastRenderedPageBreak/>
        <w:t>1.</w:t>
      </w:r>
      <w:r w:rsidR="00BE6F63" w:rsidRPr="001330FC">
        <w:rPr>
          <w:rFonts w:ascii="Times New Roman" w:hAnsi="Times New Roman"/>
          <w:b/>
          <w:sz w:val="24"/>
          <w:szCs w:val="24"/>
          <w:lang w:val="nl-NL"/>
        </w:rPr>
        <w:t>8. Quy mô Quỹ tại thời điểm báo cáo</w:t>
      </w:r>
    </w:p>
    <w:p w14:paraId="0231C78E" w14:textId="63D8B2DF" w:rsidR="00A44447" w:rsidRPr="001330F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 xml:space="preserve">Tại ngày 31 tháng </w:t>
      </w:r>
      <w:r w:rsidR="00171D24" w:rsidRPr="001330FC">
        <w:rPr>
          <w:rFonts w:ascii="Times New Roman" w:hAnsi="Times New Roman"/>
          <w:sz w:val="24"/>
          <w:szCs w:val="24"/>
          <w:lang w:val="nl-NL"/>
        </w:rPr>
        <w:t>03</w:t>
      </w:r>
      <w:r w:rsidRPr="001330FC">
        <w:rPr>
          <w:rFonts w:ascii="Times New Roman" w:hAnsi="Times New Roman"/>
          <w:sz w:val="24"/>
          <w:szCs w:val="24"/>
          <w:lang w:val="nl-NL"/>
        </w:rPr>
        <w:t xml:space="preserve"> năm 202</w:t>
      </w:r>
      <w:r w:rsidR="00171D24" w:rsidRPr="001330FC">
        <w:rPr>
          <w:rFonts w:ascii="Times New Roman" w:hAnsi="Times New Roman"/>
          <w:sz w:val="24"/>
          <w:szCs w:val="24"/>
          <w:lang w:val="nl-NL"/>
        </w:rPr>
        <w:t>2</w:t>
      </w:r>
      <w:r w:rsidRPr="001330FC">
        <w:rPr>
          <w:rFonts w:ascii="Times New Roman" w:hAnsi="Times New Roman"/>
          <w:sz w:val="24"/>
          <w:szCs w:val="24"/>
          <w:lang w:val="nl-NL"/>
        </w:rPr>
        <w:t xml:space="preserve">, số lượng Chứng chỉ quỹ (“CCQ”) đang lưu hành của Quỹ là </w:t>
      </w:r>
      <w:r w:rsidR="0095587A" w:rsidRPr="001330FC">
        <w:rPr>
          <w:rFonts w:ascii="Times New Roman" w:hAnsi="Times New Roman"/>
          <w:sz w:val="24"/>
          <w:szCs w:val="24"/>
          <w:lang w:val="nl-NL"/>
        </w:rPr>
        <w:t xml:space="preserve"> 9,817,487.80  </w:t>
      </w:r>
      <w:r w:rsidRPr="001330FC">
        <w:rPr>
          <w:rFonts w:ascii="Times New Roman" w:hAnsi="Times New Roman"/>
          <w:sz w:val="24"/>
          <w:szCs w:val="24"/>
          <w:lang w:val="nl-NL"/>
        </w:rPr>
        <w:t xml:space="preserve">CCQ, tương đương với quy mô vốn của Quỹ theo mệnh giá là </w:t>
      </w:r>
      <w:r w:rsidR="0095587A" w:rsidRPr="001330FC">
        <w:rPr>
          <w:rFonts w:ascii="Times New Roman" w:hAnsi="Times New Roman"/>
          <w:sz w:val="24"/>
          <w:szCs w:val="24"/>
          <w:lang w:val="nl-NL"/>
        </w:rPr>
        <w:t xml:space="preserve"> 98,174,878,000</w:t>
      </w:r>
      <w:r w:rsidRPr="001330F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10. Chính sách phân phối lợi nhuận của Quỹ:</w:t>
      </w:r>
    </w:p>
    <w:p w14:paraId="72D983E9"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565B0474" w:rsidR="00BE6F63" w:rsidRPr="00A90AB7"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315A8E" w:rsidRPr="001330FC">
        <w:rPr>
          <w:rFonts w:ascii="Times New Roman" w:hAnsi="Times New Roman"/>
          <w:b/>
          <w:sz w:val="24"/>
          <w:szCs w:val="24"/>
          <w:lang w:val="nl-NL"/>
        </w:rPr>
        <w:t xml:space="preserve">1. </w:t>
      </w:r>
      <w:r w:rsidR="00BE6F63" w:rsidRPr="001330FC">
        <w:rPr>
          <w:rFonts w:ascii="Times New Roman" w:hAnsi="Times New Roman"/>
          <w:b/>
          <w:sz w:val="24"/>
          <w:szCs w:val="24"/>
          <w:lang w:val="nl-NL"/>
        </w:rPr>
        <w:t>Cơ cấu tài sản quỹ</w:t>
      </w:r>
      <w:r w:rsidR="00147E0F" w:rsidRPr="001330FC">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1D27E864"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2</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43C727DF"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1</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3B9E1237"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20</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95587A" w:rsidRPr="004647B9" w14:paraId="24D2596E" w14:textId="77777777" w:rsidTr="00C27051">
        <w:tc>
          <w:tcPr>
            <w:tcW w:w="2134" w:type="pct"/>
            <w:shd w:val="clear" w:color="auto" w:fill="auto"/>
            <w:vAlign w:val="center"/>
          </w:tcPr>
          <w:p w14:paraId="33FCFD60" w14:textId="6918A882" w:rsidR="0095587A" w:rsidRPr="004647B9" w:rsidRDefault="0095587A" w:rsidP="0095587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lastRenderedPageBreak/>
              <w:t>1.Danh mục chứng khoán cơ cấu</w:t>
            </w:r>
          </w:p>
        </w:tc>
        <w:tc>
          <w:tcPr>
            <w:tcW w:w="971" w:type="pct"/>
            <w:shd w:val="clear" w:color="auto" w:fill="auto"/>
          </w:tcPr>
          <w:p w14:paraId="0B91117D" w14:textId="427C4AEA"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94.40%</w:t>
            </w:r>
          </w:p>
        </w:tc>
        <w:tc>
          <w:tcPr>
            <w:tcW w:w="971" w:type="pct"/>
            <w:shd w:val="clear" w:color="auto" w:fill="auto"/>
          </w:tcPr>
          <w:p w14:paraId="57589212" w14:textId="3552DD08"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91.69%</w:t>
            </w:r>
          </w:p>
        </w:tc>
        <w:tc>
          <w:tcPr>
            <w:tcW w:w="923" w:type="pct"/>
            <w:shd w:val="clear" w:color="auto" w:fill="auto"/>
          </w:tcPr>
          <w:p w14:paraId="7BE89613" w14:textId="46F65692"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79.20%</w:t>
            </w:r>
          </w:p>
        </w:tc>
      </w:tr>
      <w:tr w:rsidR="0095587A" w:rsidRPr="004647B9" w14:paraId="4D0C35D7" w14:textId="77777777" w:rsidTr="00C27051">
        <w:tc>
          <w:tcPr>
            <w:tcW w:w="2134" w:type="pct"/>
            <w:shd w:val="clear" w:color="auto" w:fill="auto"/>
            <w:vAlign w:val="center"/>
          </w:tcPr>
          <w:p w14:paraId="34BD949F" w14:textId="459905D2" w:rsidR="0095587A" w:rsidRPr="004647B9" w:rsidRDefault="0095587A" w:rsidP="0095587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7363F0A2"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4.51%</w:t>
            </w:r>
          </w:p>
        </w:tc>
        <w:tc>
          <w:tcPr>
            <w:tcW w:w="971" w:type="pct"/>
            <w:shd w:val="clear" w:color="auto" w:fill="auto"/>
          </w:tcPr>
          <w:p w14:paraId="34619132" w14:textId="5C136FA2"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8.30%</w:t>
            </w:r>
          </w:p>
        </w:tc>
        <w:tc>
          <w:tcPr>
            <w:tcW w:w="923" w:type="pct"/>
            <w:shd w:val="clear" w:color="auto" w:fill="auto"/>
          </w:tcPr>
          <w:p w14:paraId="1E0BFD96" w14:textId="70AE928F"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19.82%</w:t>
            </w:r>
          </w:p>
        </w:tc>
      </w:tr>
      <w:tr w:rsidR="0095587A" w:rsidRPr="004647B9" w14:paraId="2B8F060E" w14:textId="77777777" w:rsidTr="00C27051">
        <w:tc>
          <w:tcPr>
            <w:tcW w:w="2134" w:type="pct"/>
            <w:shd w:val="clear" w:color="auto" w:fill="auto"/>
            <w:vAlign w:val="center"/>
          </w:tcPr>
          <w:p w14:paraId="687A447B" w14:textId="56D5388C" w:rsidR="0095587A" w:rsidRPr="004647B9" w:rsidRDefault="0095587A" w:rsidP="0095587A">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743969B0"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1.09%</w:t>
            </w:r>
          </w:p>
        </w:tc>
        <w:tc>
          <w:tcPr>
            <w:tcW w:w="971" w:type="pct"/>
            <w:shd w:val="clear" w:color="auto" w:fill="auto"/>
          </w:tcPr>
          <w:p w14:paraId="269481FC" w14:textId="59987AF3"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0.01%</w:t>
            </w:r>
          </w:p>
        </w:tc>
        <w:tc>
          <w:tcPr>
            <w:tcW w:w="923" w:type="pct"/>
            <w:shd w:val="clear" w:color="auto" w:fill="auto"/>
          </w:tcPr>
          <w:p w14:paraId="2A4B7332" w14:textId="49B1996A" w:rsidR="0095587A" w:rsidRPr="0095587A" w:rsidRDefault="0095587A" w:rsidP="0095587A">
            <w:pPr>
              <w:tabs>
                <w:tab w:val="left" w:pos="540"/>
              </w:tabs>
              <w:spacing w:before="120" w:after="0" w:line="240" w:lineRule="auto"/>
              <w:jc w:val="center"/>
              <w:rPr>
                <w:rFonts w:ascii="Times New Roman" w:hAnsi="Times New Roman"/>
                <w:sz w:val="24"/>
                <w:szCs w:val="24"/>
              </w:rPr>
            </w:pPr>
            <w:r w:rsidRPr="0095587A">
              <w:rPr>
                <w:rFonts w:ascii="Times New Roman" w:hAnsi="Times New Roman"/>
                <w:sz w:val="24"/>
                <w:szCs w:val="24"/>
              </w:rPr>
              <w:t>0.98%</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901"/>
        <w:gridCol w:w="1714"/>
      </w:tblGrid>
      <w:tr w:rsidR="00171D24" w:rsidRPr="00A90AB7" w14:paraId="21034AD9" w14:textId="77777777" w:rsidTr="00181C49">
        <w:tc>
          <w:tcPr>
            <w:tcW w:w="2115" w:type="pct"/>
            <w:shd w:val="clear" w:color="auto" w:fill="auto"/>
            <w:vAlign w:val="center"/>
          </w:tcPr>
          <w:p w14:paraId="1D5B1819" w14:textId="77777777" w:rsidR="00171D24" w:rsidRPr="004647B9" w:rsidRDefault="00171D24" w:rsidP="00171D24">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1FAF23FB"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1016" w:type="pct"/>
            <w:shd w:val="clear" w:color="auto" w:fill="auto"/>
            <w:vAlign w:val="center"/>
          </w:tcPr>
          <w:p w14:paraId="174B15DB" w14:textId="4A28A1CF"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c>
          <w:tcPr>
            <w:tcW w:w="916" w:type="pct"/>
            <w:shd w:val="clear" w:color="auto" w:fill="auto"/>
            <w:vAlign w:val="center"/>
          </w:tcPr>
          <w:p w14:paraId="36922E34" w14:textId="4E854D45"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r>
      <w:tr w:rsidR="0095587A" w:rsidRPr="00A90AB7" w14:paraId="1582E00A" w14:textId="77777777" w:rsidTr="0095587A">
        <w:trPr>
          <w:trHeight w:val="648"/>
        </w:trPr>
        <w:tc>
          <w:tcPr>
            <w:tcW w:w="2115" w:type="pct"/>
            <w:shd w:val="clear" w:color="auto" w:fill="auto"/>
            <w:vAlign w:val="center"/>
          </w:tcPr>
          <w:p w14:paraId="165B2506" w14:textId="0ACE3575"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64D2A1DF"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160,874,405,029 </w:t>
            </w:r>
          </w:p>
        </w:tc>
        <w:tc>
          <w:tcPr>
            <w:tcW w:w="1016" w:type="pct"/>
            <w:shd w:val="clear" w:color="auto" w:fill="auto"/>
            <w:vAlign w:val="center"/>
          </w:tcPr>
          <w:p w14:paraId="6B0EAE44" w14:textId="4738B05C" w:rsidR="0095587A" w:rsidRPr="003011A5" w:rsidRDefault="0095587A" w:rsidP="0095587A">
            <w:pPr>
              <w:tabs>
                <w:tab w:val="left" w:pos="540"/>
              </w:tabs>
              <w:spacing w:before="120" w:after="120" w:line="240" w:lineRule="auto"/>
              <w:ind w:right="57"/>
              <w:jc w:val="center"/>
              <w:rPr>
                <w:rFonts w:ascii="Times New Roman" w:hAnsi="Times New Roman"/>
                <w:sz w:val="24"/>
                <w:szCs w:val="24"/>
              </w:rPr>
            </w:pPr>
            <w:r w:rsidRPr="0095587A">
              <w:rPr>
                <w:rFonts w:ascii="Times New Roman" w:hAnsi="Times New Roman"/>
                <w:sz w:val="24"/>
                <w:szCs w:val="24"/>
              </w:rPr>
              <w:t xml:space="preserve"> 115,039,248,475   </w:t>
            </w:r>
          </w:p>
        </w:tc>
        <w:tc>
          <w:tcPr>
            <w:tcW w:w="916" w:type="pct"/>
            <w:shd w:val="clear" w:color="auto" w:fill="auto"/>
            <w:vAlign w:val="center"/>
          </w:tcPr>
          <w:p w14:paraId="2D404424" w14:textId="5F4F1F24"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58,778,186,978</w:t>
            </w:r>
          </w:p>
        </w:tc>
      </w:tr>
      <w:tr w:rsidR="0095587A" w:rsidRPr="00A90AB7" w14:paraId="740B9023" w14:textId="77777777" w:rsidTr="0095587A">
        <w:trPr>
          <w:trHeight w:val="666"/>
        </w:trPr>
        <w:tc>
          <w:tcPr>
            <w:tcW w:w="2115" w:type="pct"/>
            <w:shd w:val="clear" w:color="auto" w:fill="auto"/>
            <w:vAlign w:val="center"/>
          </w:tcPr>
          <w:p w14:paraId="58D993A2" w14:textId="38821DA1"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3698447B"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9,817,487.80   </w:t>
            </w:r>
          </w:p>
        </w:tc>
        <w:tc>
          <w:tcPr>
            <w:tcW w:w="1016" w:type="pct"/>
            <w:shd w:val="clear" w:color="auto" w:fill="auto"/>
            <w:vAlign w:val="center"/>
          </w:tcPr>
          <w:p w14:paraId="0C159F19" w14:textId="0A87FEB3"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8,454,971.98   </w:t>
            </w:r>
          </w:p>
        </w:tc>
        <w:tc>
          <w:tcPr>
            <w:tcW w:w="916" w:type="pct"/>
            <w:shd w:val="clear" w:color="auto" w:fill="auto"/>
            <w:vAlign w:val="center"/>
          </w:tcPr>
          <w:p w14:paraId="34852C91" w14:textId="1E42CE9A"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7,839,718.12   </w:t>
            </w:r>
          </w:p>
        </w:tc>
      </w:tr>
      <w:tr w:rsidR="0095587A" w:rsidRPr="00A90AB7" w14:paraId="0F7D1AC6" w14:textId="77777777" w:rsidTr="0095587A">
        <w:tc>
          <w:tcPr>
            <w:tcW w:w="2115" w:type="pct"/>
            <w:shd w:val="clear" w:color="auto" w:fill="auto"/>
            <w:vAlign w:val="center"/>
          </w:tcPr>
          <w:p w14:paraId="7AA58A45" w14:textId="038C9255"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03FCBEEB"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16,386.51   </w:t>
            </w:r>
          </w:p>
        </w:tc>
        <w:tc>
          <w:tcPr>
            <w:tcW w:w="1016" w:type="pct"/>
            <w:shd w:val="clear" w:color="auto" w:fill="auto"/>
            <w:vAlign w:val="center"/>
          </w:tcPr>
          <w:p w14:paraId="5F9F7D1C" w14:textId="1234F01A"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13,606.10   </w:t>
            </w:r>
          </w:p>
        </w:tc>
        <w:tc>
          <w:tcPr>
            <w:tcW w:w="916" w:type="pct"/>
            <w:shd w:val="clear" w:color="auto" w:fill="auto"/>
            <w:vAlign w:val="center"/>
          </w:tcPr>
          <w:p w14:paraId="048F7B62" w14:textId="13EBC7CD"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7,497.48   </w:t>
            </w:r>
          </w:p>
        </w:tc>
      </w:tr>
      <w:tr w:rsidR="0095587A" w:rsidRPr="00A90AB7" w14:paraId="395AB2AB" w14:textId="77777777" w:rsidTr="0095587A">
        <w:tc>
          <w:tcPr>
            <w:tcW w:w="2115" w:type="pct"/>
            <w:shd w:val="clear" w:color="auto" w:fill="auto"/>
            <w:vAlign w:val="center"/>
          </w:tcPr>
          <w:p w14:paraId="4D78CBEF" w14:textId="387FCDF9"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575CB958"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16,672.46   </w:t>
            </w:r>
          </w:p>
        </w:tc>
        <w:tc>
          <w:tcPr>
            <w:tcW w:w="1016" w:type="pct"/>
            <w:shd w:val="clear" w:color="auto" w:fill="auto"/>
            <w:vAlign w:val="center"/>
          </w:tcPr>
          <w:p w14:paraId="2ECE8D83" w14:textId="1B3F55D0"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13,749.63   </w:t>
            </w:r>
          </w:p>
        </w:tc>
        <w:tc>
          <w:tcPr>
            <w:tcW w:w="916" w:type="pct"/>
            <w:shd w:val="clear" w:color="auto" w:fill="auto"/>
            <w:vAlign w:val="center"/>
          </w:tcPr>
          <w:p w14:paraId="4517B3D4" w14:textId="67CBD52A"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10,692.26   </w:t>
            </w:r>
          </w:p>
        </w:tc>
      </w:tr>
      <w:tr w:rsidR="0095587A" w:rsidRPr="00A90AB7" w14:paraId="3A3FE5B3" w14:textId="77777777" w:rsidTr="0095587A">
        <w:tc>
          <w:tcPr>
            <w:tcW w:w="2115" w:type="pct"/>
            <w:shd w:val="clear" w:color="auto" w:fill="auto"/>
            <w:vAlign w:val="center"/>
          </w:tcPr>
          <w:p w14:paraId="67851E1D" w14:textId="18442C06"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11BDACD7"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15,728.33   </w:t>
            </w:r>
          </w:p>
        </w:tc>
        <w:tc>
          <w:tcPr>
            <w:tcW w:w="1016" w:type="pct"/>
            <w:shd w:val="clear" w:color="auto" w:fill="auto"/>
            <w:vAlign w:val="center"/>
          </w:tcPr>
          <w:p w14:paraId="7200238C" w14:textId="349C5BE5"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11,909.83   </w:t>
            </w:r>
          </w:p>
        </w:tc>
        <w:tc>
          <w:tcPr>
            <w:tcW w:w="916" w:type="pct"/>
            <w:shd w:val="clear" w:color="auto" w:fill="auto"/>
            <w:vAlign w:val="center"/>
          </w:tcPr>
          <w:p w14:paraId="0A60AFAB" w14:textId="6D7E24F9" w:rsidR="0095587A" w:rsidRPr="003011A5"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7,497.48   </w:t>
            </w:r>
          </w:p>
        </w:tc>
      </w:tr>
      <w:tr w:rsidR="00FB29CA" w:rsidRPr="00A90AB7" w14:paraId="680FA9D8" w14:textId="77777777" w:rsidTr="00181C49">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16"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16" w:type="pct"/>
            <w:shd w:val="clear" w:color="auto" w:fill="auto"/>
            <w:vAlign w:val="center"/>
          </w:tcPr>
          <w:p w14:paraId="0C5D082F" w14:textId="761CC900"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FB29CA" w:rsidRPr="00A90AB7" w14:paraId="2492316D" w14:textId="77777777" w:rsidTr="00181C49">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54E3070C" w14:textId="75D83AC3"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FB29CA" w:rsidRPr="00A90AB7" w14:paraId="51B49DCF" w14:textId="77777777" w:rsidTr="00181C49">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693C8484" w14:textId="729B6DBB"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5587A" w:rsidRPr="00A90AB7" w14:paraId="3D43ACEE" w14:textId="77777777" w:rsidTr="0095587A">
        <w:tc>
          <w:tcPr>
            <w:tcW w:w="2115" w:type="pct"/>
            <w:shd w:val="clear" w:color="auto" w:fill="auto"/>
            <w:vAlign w:val="center"/>
          </w:tcPr>
          <w:p w14:paraId="1916F095" w14:textId="30B7C9BD"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53" w:type="pct"/>
            <w:shd w:val="clear" w:color="auto" w:fill="auto"/>
            <w:vAlign w:val="center"/>
          </w:tcPr>
          <w:p w14:paraId="20184A90" w14:textId="24394A49"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-0.22%</w:t>
            </w:r>
          </w:p>
        </w:tc>
        <w:tc>
          <w:tcPr>
            <w:tcW w:w="1016" w:type="pct"/>
            <w:shd w:val="clear" w:color="auto" w:fill="auto"/>
            <w:vAlign w:val="center"/>
          </w:tcPr>
          <w:p w14:paraId="5EF14642" w14:textId="44E39043"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7.75%</w:t>
            </w:r>
          </w:p>
        </w:tc>
        <w:tc>
          <w:tcPr>
            <w:tcW w:w="916" w:type="pct"/>
            <w:shd w:val="clear" w:color="auto" w:fill="auto"/>
            <w:vAlign w:val="center"/>
          </w:tcPr>
          <w:p w14:paraId="69214AE9" w14:textId="69222797"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-28.17%</w:t>
            </w:r>
          </w:p>
        </w:tc>
      </w:tr>
      <w:tr w:rsidR="0095587A" w:rsidRPr="00A90AB7" w14:paraId="39E29FC2" w14:textId="77777777" w:rsidTr="0095587A">
        <w:tc>
          <w:tcPr>
            <w:tcW w:w="2115" w:type="pct"/>
            <w:shd w:val="clear" w:color="auto" w:fill="auto"/>
            <w:vAlign w:val="center"/>
          </w:tcPr>
          <w:p w14:paraId="684DE998" w14:textId="78F073F7"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5E55B01C"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0.13%</w:t>
            </w:r>
          </w:p>
        </w:tc>
        <w:tc>
          <w:tcPr>
            <w:tcW w:w="1016" w:type="pct"/>
            <w:shd w:val="clear" w:color="auto" w:fill="auto"/>
            <w:vAlign w:val="center"/>
          </w:tcPr>
          <w:p w14:paraId="06674D77" w14:textId="1851FD5D"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-0.16%</w:t>
            </w:r>
          </w:p>
        </w:tc>
        <w:tc>
          <w:tcPr>
            <w:tcW w:w="916" w:type="pct"/>
            <w:shd w:val="clear" w:color="auto" w:fill="auto"/>
            <w:vAlign w:val="center"/>
          </w:tcPr>
          <w:p w14:paraId="441377AA" w14:textId="1C718E70"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-22.25%</w:t>
            </w:r>
          </w:p>
        </w:tc>
      </w:tr>
      <w:tr w:rsidR="0095587A" w:rsidRPr="00A90AB7" w14:paraId="5D4A2E39" w14:textId="77777777" w:rsidTr="0095587A">
        <w:tc>
          <w:tcPr>
            <w:tcW w:w="2115" w:type="pct"/>
            <w:shd w:val="clear" w:color="auto" w:fill="auto"/>
            <w:vAlign w:val="center"/>
          </w:tcPr>
          <w:p w14:paraId="461797A3" w14:textId="30BB3659"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4B721443"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-0.12%</w:t>
            </w:r>
          </w:p>
        </w:tc>
        <w:tc>
          <w:tcPr>
            <w:tcW w:w="1016" w:type="pct"/>
            <w:shd w:val="clear" w:color="auto" w:fill="auto"/>
            <w:vAlign w:val="center"/>
          </w:tcPr>
          <w:p w14:paraId="1E604B06" w14:textId="7280234E"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5.17%</w:t>
            </w:r>
          </w:p>
        </w:tc>
        <w:tc>
          <w:tcPr>
            <w:tcW w:w="916" w:type="pct"/>
            <w:shd w:val="clear" w:color="auto" w:fill="auto"/>
            <w:vAlign w:val="center"/>
          </w:tcPr>
          <w:p w14:paraId="6F2AF01B" w14:textId="38D766CA"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-7.07%</w:t>
            </w:r>
          </w:p>
        </w:tc>
      </w:tr>
      <w:tr w:rsidR="00FB29CA" w:rsidRPr="00A90AB7" w14:paraId="4CC4F0AA" w14:textId="77777777" w:rsidTr="00181C49">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1A61D75" w14:textId="0848FB23"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FB29CA" w:rsidRPr="00A90AB7" w14:paraId="6EAB03D4" w14:textId="77777777" w:rsidTr="00181C49">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56494BE" w14:textId="0BC5E388"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FB29CA" w:rsidRPr="00A90AB7" w14:paraId="484A1706" w14:textId="77777777" w:rsidTr="00181C49">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EBF3467" w14:textId="04FF3250" w:rsidR="00FB29CA" w:rsidRPr="00A90AB7"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5587A" w:rsidRPr="00A90AB7" w14:paraId="59EE0EC7" w14:textId="77777777" w:rsidTr="00181C49">
        <w:tc>
          <w:tcPr>
            <w:tcW w:w="2115" w:type="pct"/>
            <w:shd w:val="clear" w:color="auto" w:fill="auto"/>
            <w:vAlign w:val="center"/>
          </w:tcPr>
          <w:p w14:paraId="5D620D01" w14:textId="1DFC1578"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13.Tỷ lệ chi phí hoạt động của quỹ (%)</w:t>
            </w:r>
          </w:p>
        </w:tc>
        <w:tc>
          <w:tcPr>
            <w:tcW w:w="953" w:type="pct"/>
            <w:shd w:val="clear" w:color="auto" w:fill="auto"/>
          </w:tcPr>
          <w:p w14:paraId="1599D8AD" w14:textId="68D66874" w:rsidR="0095587A" w:rsidRPr="00631DA1"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2.79%</w:t>
            </w:r>
          </w:p>
        </w:tc>
        <w:tc>
          <w:tcPr>
            <w:tcW w:w="1016" w:type="pct"/>
            <w:shd w:val="clear" w:color="auto" w:fill="auto"/>
          </w:tcPr>
          <w:p w14:paraId="4A1A1B3F" w14:textId="04721C43" w:rsidR="0095587A" w:rsidRPr="00631DA1"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3.01%</w:t>
            </w:r>
          </w:p>
        </w:tc>
        <w:tc>
          <w:tcPr>
            <w:tcW w:w="916" w:type="pct"/>
            <w:shd w:val="clear" w:color="auto" w:fill="auto"/>
          </w:tcPr>
          <w:p w14:paraId="669414C7" w14:textId="28B2DBF5"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3.70%</w:t>
            </w:r>
          </w:p>
        </w:tc>
      </w:tr>
      <w:tr w:rsidR="0095587A" w:rsidRPr="00A90AB7" w14:paraId="5F792137" w14:textId="77777777" w:rsidTr="00181C49">
        <w:tc>
          <w:tcPr>
            <w:tcW w:w="2115" w:type="pct"/>
            <w:shd w:val="clear" w:color="auto" w:fill="auto"/>
            <w:vAlign w:val="center"/>
          </w:tcPr>
          <w:p w14:paraId="1CB9C522" w14:textId="593FBECC"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tcPr>
          <w:p w14:paraId="1DCC5EDA" w14:textId="70AD0085" w:rsidR="0095587A" w:rsidRPr="00631DA1"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2.0876 </w:t>
            </w:r>
          </w:p>
        </w:tc>
        <w:tc>
          <w:tcPr>
            <w:tcW w:w="1016" w:type="pct"/>
            <w:shd w:val="clear" w:color="auto" w:fill="auto"/>
          </w:tcPr>
          <w:p w14:paraId="445F9F32" w14:textId="37F9E933" w:rsidR="0095587A" w:rsidRPr="00631DA1"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1.831   </w:t>
            </w:r>
          </w:p>
        </w:tc>
        <w:tc>
          <w:tcPr>
            <w:tcW w:w="916" w:type="pct"/>
            <w:shd w:val="clear" w:color="auto" w:fill="auto"/>
          </w:tcPr>
          <w:p w14:paraId="236B1E60" w14:textId="09741F2D" w:rsidR="0095587A" w:rsidRPr="00E67CAC" w:rsidRDefault="0095587A" w:rsidP="0095587A">
            <w:pPr>
              <w:tabs>
                <w:tab w:val="left" w:pos="540"/>
              </w:tabs>
              <w:spacing w:before="120" w:after="120" w:line="240" w:lineRule="auto"/>
              <w:ind w:left="57" w:right="57"/>
              <w:jc w:val="center"/>
              <w:rPr>
                <w:rFonts w:ascii="Times New Roman" w:hAnsi="Times New Roman"/>
                <w:sz w:val="24"/>
                <w:szCs w:val="24"/>
              </w:rPr>
            </w:pPr>
            <w:r w:rsidRPr="0095587A">
              <w:rPr>
                <w:rFonts w:ascii="Times New Roman" w:hAnsi="Times New Roman"/>
                <w:sz w:val="24"/>
                <w:szCs w:val="24"/>
              </w:rPr>
              <w:t xml:space="preserve"> 2.345   </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95587A" w:rsidRPr="001330FC" w14:paraId="5EEB48C6" w14:textId="77777777" w:rsidTr="0047202A">
        <w:tc>
          <w:tcPr>
            <w:tcW w:w="2115" w:type="pct"/>
            <w:shd w:val="clear" w:color="auto" w:fill="auto"/>
            <w:vAlign w:val="center"/>
          </w:tcPr>
          <w:p w14:paraId="5DDCFCF4" w14:textId="77777777" w:rsidR="0095587A" w:rsidRPr="001330FC" w:rsidRDefault="0095587A" w:rsidP="0095587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11C91EFD"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20.44%</w:t>
            </w:r>
          </w:p>
        </w:tc>
        <w:tc>
          <w:tcPr>
            <w:tcW w:w="1441" w:type="pct"/>
            <w:shd w:val="clear" w:color="auto" w:fill="auto"/>
          </w:tcPr>
          <w:p w14:paraId="31D1F686" w14:textId="6BB688EE"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20.44%</w:t>
            </w:r>
          </w:p>
        </w:tc>
      </w:tr>
      <w:tr w:rsidR="0095587A" w:rsidRPr="001330FC" w14:paraId="3E717F15" w14:textId="77777777" w:rsidTr="002F115F">
        <w:tc>
          <w:tcPr>
            <w:tcW w:w="2115" w:type="pct"/>
            <w:shd w:val="clear" w:color="auto" w:fill="auto"/>
            <w:vAlign w:val="center"/>
          </w:tcPr>
          <w:p w14:paraId="0353B976" w14:textId="77777777" w:rsidR="0095587A" w:rsidRPr="001330FC" w:rsidRDefault="0095587A" w:rsidP="0095587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7D596883"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55.37%</w:t>
            </w:r>
          </w:p>
        </w:tc>
        <w:tc>
          <w:tcPr>
            <w:tcW w:w="1441" w:type="pct"/>
            <w:shd w:val="clear" w:color="auto" w:fill="auto"/>
          </w:tcPr>
          <w:p w14:paraId="6BB5F47E" w14:textId="4F90A8FA"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15.81%</w:t>
            </w:r>
          </w:p>
        </w:tc>
      </w:tr>
      <w:tr w:rsidR="0095587A" w:rsidRPr="001330FC" w14:paraId="15A9300F" w14:textId="77777777" w:rsidTr="00431049">
        <w:tc>
          <w:tcPr>
            <w:tcW w:w="2115" w:type="pct"/>
            <w:shd w:val="clear" w:color="auto" w:fill="auto"/>
            <w:vAlign w:val="center"/>
          </w:tcPr>
          <w:p w14:paraId="23252578" w14:textId="77777777" w:rsidR="0095587A" w:rsidRPr="001330FC" w:rsidRDefault="0095587A" w:rsidP="0095587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7BAF6279"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63.87%</w:t>
            </w:r>
          </w:p>
        </w:tc>
        <w:tc>
          <w:tcPr>
            <w:tcW w:w="1441" w:type="pct"/>
            <w:shd w:val="clear" w:color="auto" w:fill="auto"/>
          </w:tcPr>
          <w:p w14:paraId="22F7C0B9" w14:textId="1261AC21" w:rsidR="0095587A" w:rsidRPr="001330FC" w:rsidRDefault="0095587A" w:rsidP="0095587A">
            <w:pPr>
              <w:tabs>
                <w:tab w:val="left" w:pos="540"/>
              </w:tabs>
              <w:spacing w:before="120" w:after="0" w:line="240" w:lineRule="auto"/>
              <w:jc w:val="center"/>
              <w:rPr>
                <w:rFonts w:ascii="Times New Roman" w:hAnsi="Times New Roman"/>
                <w:sz w:val="24"/>
                <w:szCs w:val="24"/>
              </w:rPr>
            </w:pPr>
            <w:r w:rsidRPr="001330FC">
              <w:rPr>
                <w:rFonts w:ascii="Times New Roman" w:hAnsi="Times New Roman"/>
                <w:sz w:val="24"/>
                <w:szCs w:val="24"/>
              </w:rPr>
              <w:t>16.45%</w:t>
            </w:r>
          </w:p>
        </w:tc>
      </w:tr>
    </w:tbl>
    <w:p w14:paraId="2FB699CF" w14:textId="57EBAAA1"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4.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171D24" w:rsidRPr="001330FC" w14:paraId="6BD9BADA" w14:textId="77777777" w:rsidTr="008D0C99">
        <w:trPr>
          <w:trHeight w:val="774"/>
        </w:trPr>
        <w:tc>
          <w:tcPr>
            <w:tcW w:w="2114" w:type="pct"/>
            <w:shd w:val="clear" w:color="auto" w:fill="auto"/>
          </w:tcPr>
          <w:p w14:paraId="0B375C4A" w14:textId="77777777"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71308B38" w14:textId="77777777"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31/03/2022</w:t>
            </w:r>
          </w:p>
          <w:p w14:paraId="4D4EEB62" w14:textId="6E59DE27"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w:t>
            </w:r>
          </w:p>
        </w:tc>
        <w:tc>
          <w:tcPr>
            <w:tcW w:w="1009" w:type="pct"/>
            <w:shd w:val="clear" w:color="auto" w:fill="auto"/>
            <w:vAlign w:val="center"/>
          </w:tcPr>
          <w:p w14:paraId="587F420A" w14:textId="77777777"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31/03/2021</w:t>
            </w:r>
          </w:p>
          <w:p w14:paraId="595F60E4" w14:textId="25155B0B"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w:t>
            </w:r>
          </w:p>
        </w:tc>
        <w:tc>
          <w:tcPr>
            <w:tcW w:w="914" w:type="pct"/>
            <w:shd w:val="clear" w:color="auto" w:fill="auto"/>
            <w:vAlign w:val="center"/>
          </w:tcPr>
          <w:p w14:paraId="584232D5" w14:textId="77777777"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31/03/2020</w:t>
            </w:r>
          </w:p>
          <w:p w14:paraId="2B058C43" w14:textId="7EA50970" w:rsidR="00171D24" w:rsidRPr="001330FC" w:rsidRDefault="00171D24" w:rsidP="00171D2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w:t>
            </w:r>
          </w:p>
        </w:tc>
      </w:tr>
      <w:tr w:rsidR="0095587A" w:rsidRPr="00A90AB7" w14:paraId="2450D773" w14:textId="77777777" w:rsidTr="008D0C99">
        <w:tc>
          <w:tcPr>
            <w:tcW w:w="2114" w:type="pct"/>
            <w:shd w:val="clear" w:color="auto" w:fill="auto"/>
          </w:tcPr>
          <w:p w14:paraId="1AE229FE" w14:textId="3BE99F55" w:rsidR="0095587A" w:rsidRPr="001330FC"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54FF9825" w:rsidR="0095587A" w:rsidRPr="001330FC" w:rsidRDefault="0095587A" w:rsidP="0095587A">
            <w:pPr>
              <w:tabs>
                <w:tab w:val="left" w:pos="540"/>
              </w:tabs>
              <w:spacing w:before="120" w:line="240" w:lineRule="auto"/>
              <w:jc w:val="center"/>
              <w:rPr>
                <w:rFonts w:ascii="Times New Roman" w:hAnsi="Times New Roman"/>
                <w:sz w:val="24"/>
                <w:szCs w:val="24"/>
              </w:rPr>
            </w:pPr>
            <w:r w:rsidRPr="001330FC">
              <w:rPr>
                <w:rFonts w:ascii="Times New Roman" w:hAnsi="Times New Roman"/>
                <w:sz w:val="24"/>
                <w:szCs w:val="24"/>
              </w:rPr>
              <w:t>20.44%</w:t>
            </w:r>
          </w:p>
        </w:tc>
        <w:tc>
          <w:tcPr>
            <w:tcW w:w="1009" w:type="pct"/>
            <w:shd w:val="clear" w:color="auto" w:fill="auto"/>
          </w:tcPr>
          <w:p w14:paraId="34A7EE47" w14:textId="6C7CB6C1" w:rsidR="0095587A" w:rsidRPr="001330FC" w:rsidRDefault="0095587A" w:rsidP="0095587A">
            <w:pPr>
              <w:tabs>
                <w:tab w:val="left" w:pos="540"/>
              </w:tabs>
              <w:spacing w:before="120" w:line="240" w:lineRule="auto"/>
              <w:jc w:val="center"/>
              <w:rPr>
                <w:rFonts w:ascii="Times New Roman" w:hAnsi="Times New Roman"/>
                <w:sz w:val="24"/>
                <w:szCs w:val="24"/>
              </w:rPr>
            </w:pPr>
            <w:r w:rsidRPr="001330FC">
              <w:rPr>
                <w:rFonts w:ascii="Times New Roman" w:hAnsi="Times New Roman"/>
                <w:sz w:val="24"/>
                <w:szCs w:val="24"/>
              </w:rPr>
              <w:t>81.48%</w:t>
            </w:r>
          </w:p>
        </w:tc>
        <w:tc>
          <w:tcPr>
            <w:tcW w:w="914" w:type="pct"/>
            <w:shd w:val="clear" w:color="auto" w:fill="auto"/>
          </w:tcPr>
          <w:p w14:paraId="296CFA3A" w14:textId="3A06D562" w:rsidR="0095587A" w:rsidRPr="0095587A" w:rsidRDefault="0095587A" w:rsidP="0095587A">
            <w:pPr>
              <w:tabs>
                <w:tab w:val="left" w:pos="540"/>
              </w:tabs>
              <w:spacing w:before="120" w:line="240" w:lineRule="auto"/>
              <w:jc w:val="center"/>
              <w:rPr>
                <w:rFonts w:ascii="Times New Roman" w:hAnsi="Times New Roman"/>
                <w:sz w:val="24"/>
                <w:szCs w:val="24"/>
              </w:rPr>
            </w:pPr>
            <w:r w:rsidRPr="001330FC">
              <w:rPr>
                <w:rFonts w:ascii="Times New Roman" w:hAnsi="Times New Roman"/>
                <w:sz w:val="24"/>
                <w:szCs w:val="24"/>
              </w:rPr>
              <w:t>-28.91%</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3</w:t>
      </w:r>
      <w:r w:rsidR="00BE6F63" w:rsidRPr="001330FC">
        <w:rPr>
          <w:rFonts w:ascii="Times New Roman" w:hAnsi="Times New Roman"/>
          <w:b/>
          <w:sz w:val="24"/>
          <w:szCs w:val="24"/>
          <w:lang w:val="nl-NL"/>
        </w:rPr>
        <w:t>. Mô tả thị trường trong kỳ:</w:t>
      </w:r>
    </w:p>
    <w:p w14:paraId="22797253" w14:textId="77777777" w:rsidR="00A26229" w:rsidRPr="00A26229" w:rsidRDefault="00A26229" w:rsidP="00A26229">
      <w:pPr>
        <w:shd w:val="clear" w:color="auto" w:fill="FFFFFF"/>
        <w:tabs>
          <w:tab w:val="left" w:pos="540"/>
        </w:tabs>
        <w:spacing w:before="120" w:after="0" w:line="240" w:lineRule="auto"/>
        <w:jc w:val="both"/>
        <w:rPr>
          <w:rFonts w:ascii="Times New Roman" w:hAnsi="Times New Roman"/>
          <w:sz w:val="24"/>
          <w:szCs w:val="24"/>
        </w:rPr>
      </w:pP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chuỗi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giữa</w:t>
      </w:r>
      <w:proofErr w:type="spellEnd"/>
      <w:r w:rsidRPr="00A26229">
        <w:rPr>
          <w:rFonts w:ascii="Times New Roman" w:hAnsi="Times New Roman"/>
          <w:sz w:val="24"/>
          <w:szCs w:val="24"/>
        </w:rPr>
        <w:t xml:space="preserve"> Nga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Ukraina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nặng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biệt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lỏng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2011,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Riêng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World bank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5.5%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xuống</w:t>
      </w:r>
      <w:proofErr w:type="spellEnd"/>
      <w:r w:rsidRPr="00A26229">
        <w:rPr>
          <w:rFonts w:ascii="Times New Roman" w:hAnsi="Times New Roman"/>
          <w:sz w:val="24"/>
          <w:szCs w:val="24"/>
        </w:rPr>
        <w:t xml:space="preserve"> 5.3%.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vĩ</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Fitch Rating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BB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
    <w:p w14:paraId="7AD9FEAB" w14:textId="4232324E" w:rsidR="00A26229" w:rsidRPr="00A26229" w:rsidRDefault="00A26229" w:rsidP="00A26229">
      <w:pPr>
        <w:shd w:val="clear" w:color="auto" w:fill="FFFFFF"/>
        <w:tabs>
          <w:tab w:val="left" w:pos="540"/>
        </w:tabs>
        <w:spacing w:before="120" w:after="0" w:line="240" w:lineRule="auto"/>
        <w:jc w:val="both"/>
        <w:rPr>
          <w:rFonts w:ascii="Times New Roman" w:hAnsi="Times New Roman"/>
          <w:sz w:val="24"/>
          <w:szCs w:val="24"/>
        </w:rPr>
      </w:pPr>
      <w:r w:rsidRPr="00A26229">
        <w:rPr>
          <w:rFonts w:ascii="Times New Roman" w:hAnsi="Times New Roman"/>
          <w:sz w:val="24"/>
          <w:szCs w:val="24"/>
        </w:rPr>
        <w:t xml:space="preserve">Trong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cửa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sau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bệnh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tâm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nhịp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hành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11/NQ-CP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30/01/2022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khai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43/2022/QH15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tệ</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2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2022-2023.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tầng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vững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ta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lĩnh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xu </w:t>
      </w:r>
      <w:proofErr w:type="spellStart"/>
      <w:r w:rsidRPr="00A26229">
        <w:rPr>
          <w:rFonts w:ascii="Times New Roman" w:hAnsi="Times New Roman"/>
          <w:sz w:val="24"/>
          <w:szCs w:val="24"/>
        </w:rPr>
        <w:t>hướng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lại</w:t>
      </w:r>
      <w:proofErr w:type="spellEnd"/>
      <w:r w:rsidRPr="00A26229">
        <w:rPr>
          <w:rFonts w:ascii="Times New Roman" w:hAnsi="Times New Roman"/>
          <w:sz w:val="24"/>
          <w:szCs w:val="24"/>
        </w:rPr>
        <w:t xml:space="preserve">. </w:t>
      </w:r>
    </w:p>
    <w:p w14:paraId="180BE7AD" w14:textId="77777777" w:rsidR="00A26229" w:rsidRPr="00A26229" w:rsidRDefault="00A26229" w:rsidP="00A26229">
      <w:pPr>
        <w:shd w:val="clear" w:color="auto" w:fill="FFFFFF"/>
        <w:tabs>
          <w:tab w:val="left" w:pos="540"/>
        </w:tabs>
        <w:spacing w:before="120" w:after="0" w:line="240" w:lineRule="auto"/>
        <w:jc w:val="both"/>
        <w:rPr>
          <w:rFonts w:ascii="Times New Roman" w:hAnsi="Times New Roman"/>
          <w:sz w:val="24"/>
          <w:szCs w:val="24"/>
        </w:rPr>
      </w:pPr>
      <w:r w:rsidRPr="00A26229">
        <w:rPr>
          <w:rFonts w:ascii="Times New Roman" w:hAnsi="Times New Roman"/>
          <w:sz w:val="24"/>
          <w:szCs w:val="24"/>
        </w:rPr>
        <w:t xml:space="preserve">Trong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phẩm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địa</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5.03%,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lượt</w:t>
      </w:r>
      <w:proofErr w:type="spellEnd"/>
      <w:r w:rsidRPr="00A26229">
        <w:rPr>
          <w:rFonts w:ascii="Times New Roman" w:hAnsi="Times New Roman"/>
          <w:sz w:val="24"/>
          <w:szCs w:val="24"/>
        </w:rPr>
        <w:t xml:space="preserve"> 3.66%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4.72%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cùng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2020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2021,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6.85%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2019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Trong </w:t>
      </w:r>
      <w:proofErr w:type="spellStart"/>
      <w:r w:rsidRPr="00A26229">
        <w:rPr>
          <w:rFonts w:ascii="Times New Roman" w:hAnsi="Times New Roman"/>
          <w:sz w:val="24"/>
          <w:szCs w:val="24"/>
        </w:rPr>
        <w:t>cơ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cấu</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xây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6.38%,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vụ</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4.58%,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2.45%.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176.4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sidRPr="00A26229">
        <w:rPr>
          <w:rFonts w:ascii="Times New Roman" w:hAnsi="Times New Roman"/>
          <w:sz w:val="24"/>
          <w:szCs w:val="24"/>
        </w:rPr>
        <w:lastRenderedPageBreak/>
        <w:t xml:space="preserve">88.6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13%;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87.8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16%.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lục</w:t>
      </w:r>
      <w:proofErr w:type="spellEnd"/>
      <w:r w:rsidRPr="00A26229">
        <w:rPr>
          <w:rFonts w:ascii="Times New Roman" w:hAnsi="Times New Roman"/>
          <w:sz w:val="24"/>
          <w:szCs w:val="24"/>
        </w:rPr>
        <w:t xml:space="preserve"> 700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gấp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mua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(“PMI”)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51.7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54.3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2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PMI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nhìn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kiện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doanh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đang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thiện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ít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thời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kéo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đây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hút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tiếp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ngoài</w:t>
      </w:r>
      <w:proofErr w:type="spellEnd"/>
      <w:r w:rsidRPr="00A26229">
        <w:rPr>
          <w:rFonts w:ascii="Times New Roman" w:hAnsi="Times New Roman"/>
          <w:sz w:val="24"/>
          <w:szCs w:val="24"/>
        </w:rPr>
        <w:t xml:space="preserve"> (“FDI”) </w:t>
      </w:r>
      <w:proofErr w:type="spellStart"/>
      <w:r w:rsidRPr="00A26229">
        <w:rPr>
          <w:rFonts w:ascii="Times New Roman" w:hAnsi="Times New Roman"/>
          <w:sz w:val="24"/>
          <w:szCs w:val="24"/>
        </w:rPr>
        <w:t>lũy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ổ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nhẹ</w:t>
      </w:r>
      <w:proofErr w:type="spellEnd"/>
      <w:r w:rsidRPr="00A26229">
        <w:rPr>
          <w:rFonts w:ascii="Times New Roman" w:hAnsi="Times New Roman"/>
          <w:sz w:val="24"/>
          <w:szCs w:val="24"/>
        </w:rPr>
        <w:t xml:space="preserve"> 7.8%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4.4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ký</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dòng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12%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cùng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8.9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dùng</w:t>
      </w:r>
      <w:proofErr w:type="spellEnd"/>
      <w:r w:rsidRPr="00A26229">
        <w:rPr>
          <w:rFonts w:ascii="Times New Roman" w:hAnsi="Times New Roman"/>
          <w:sz w:val="24"/>
          <w:szCs w:val="24"/>
        </w:rPr>
        <w:t xml:space="preserve"> (“CPI”)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2.41%, </w:t>
      </w:r>
      <w:proofErr w:type="spellStart"/>
      <w:r w:rsidRPr="00A26229">
        <w:rPr>
          <w:rFonts w:ascii="Times New Roman" w:hAnsi="Times New Roman"/>
          <w:sz w:val="24"/>
          <w:szCs w:val="24"/>
        </w:rPr>
        <w:t>dưới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4%.</w:t>
      </w:r>
    </w:p>
    <w:p w14:paraId="793C0507" w14:textId="381AFCF2" w:rsidR="00B7729E" w:rsidRDefault="00A26229" w:rsidP="00A26229">
      <w:pPr>
        <w:shd w:val="clear" w:color="auto" w:fill="FFFFFF"/>
        <w:tabs>
          <w:tab w:val="left" w:pos="540"/>
        </w:tabs>
        <w:spacing w:before="120" w:after="0" w:line="240" w:lineRule="auto"/>
        <w:jc w:val="both"/>
        <w:rPr>
          <w:rFonts w:ascii="Times New Roman" w:hAnsi="Times New Roman"/>
          <w:sz w:val="24"/>
          <w:szCs w:val="24"/>
        </w:rPr>
      </w:pPr>
      <w:r w:rsidRPr="00A26229">
        <w:rPr>
          <w:rFonts w:ascii="Times New Roman" w:hAnsi="Times New Roman"/>
          <w:sz w:val="24"/>
          <w:szCs w:val="24"/>
        </w:rPr>
        <w:t xml:space="preserve">Thị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khoán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chứng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ngang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đan</w:t>
      </w:r>
      <w:proofErr w:type="spellEnd"/>
      <w:r w:rsidRPr="00A26229">
        <w:rPr>
          <w:rFonts w:ascii="Times New Roman" w:hAnsi="Times New Roman"/>
          <w:sz w:val="24"/>
          <w:szCs w:val="24"/>
        </w:rPr>
        <w:t xml:space="preserve"> xen.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VN-index </w:t>
      </w:r>
      <w:proofErr w:type="spellStart"/>
      <w:r w:rsidRPr="00A26229">
        <w:rPr>
          <w:rFonts w:ascii="Times New Roman" w:hAnsi="Times New Roman"/>
          <w:sz w:val="24"/>
          <w:szCs w:val="24"/>
        </w:rPr>
        <w:t>đóng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cửa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31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1.492,2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0.4%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2021.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Thống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Kê</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15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hơn</w:t>
      </w:r>
      <w:proofErr w:type="spellEnd"/>
      <w:r w:rsidRPr="00A26229">
        <w:rPr>
          <w:rFonts w:ascii="Times New Roman" w:hAnsi="Times New Roman"/>
          <w:sz w:val="24"/>
          <w:szCs w:val="24"/>
        </w:rPr>
        <w:t xml:space="preserve"> 7,6 </w:t>
      </w:r>
      <w:proofErr w:type="spellStart"/>
      <w:r w:rsidRPr="00A26229">
        <w:rPr>
          <w:rFonts w:ascii="Times New Roman" w:hAnsi="Times New Roman"/>
          <w:sz w:val="24"/>
          <w:szCs w:val="24"/>
        </w:rPr>
        <w:t>triệu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đồng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hơn</w:t>
      </w:r>
      <w:proofErr w:type="spellEnd"/>
      <w:r w:rsidRPr="00A26229">
        <w:rPr>
          <w:rFonts w:ascii="Times New Roman" w:hAnsi="Times New Roman"/>
          <w:sz w:val="24"/>
          <w:szCs w:val="24"/>
        </w:rPr>
        <w:t xml:space="preserve"> 26 </w:t>
      </w:r>
      <w:proofErr w:type="spellStart"/>
      <w:r w:rsidRPr="00A26229">
        <w:rPr>
          <w:rFonts w:ascii="Times New Roman" w:hAnsi="Times New Roman"/>
          <w:sz w:val="24"/>
          <w:szCs w:val="24"/>
        </w:rPr>
        <w:t>ngàn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đồng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tiếp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nhờ</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dòng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dắt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lượng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khoản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tiếp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w:t>
      </w:r>
      <w:proofErr w:type="spellEnd"/>
      <w:r w:rsidRPr="00A26229">
        <w:rPr>
          <w:rFonts w:ascii="Times New Roman" w:hAnsi="Times New Roman"/>
          <w:sz w:val="24"/>
          <w:szCs w:val="24"/>
        </w:rPr>
        <w:t xml:space="preserve">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mới</w:t>
      </w:r>
      <w:proofErr w:type="spellEnd"/>
      <w:r w:rsidRPr="00A26229">
        <w:rPr>
          <w:rFonts w:ascii="Times New Roman" w:hAnsi="Times New Roman"/>
          <w:sz w:val="24"/>
          <w:szCs w:val="24"/>
        </w:rPr>
        <w:t xml:space="preserve"> 675,000 </w:t>
      </w:r>
      <w:proofErr w:type="spellStart"/>
      <w:r w:rsidRPr="00A26229">
        <w:rPr>
          <w:rFonts w:ascii="Times New Roman" w:hAnsi="Times New Roman"/>
          <w:sz w:val="24"/>
          <w:szCs w:val="24"/>
        </w:rPr>
        <w:t>tài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khoản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khoán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gấp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đôi</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2020. </w:t>
      </w:r>
      <w:proofErr w:type="spellStart"/>
      <w:r w:rsidRPr="00A26229">
        <w:rPr>
          <w:rFonts w:ascii="Times New Roman" w:hAnsi="Times New Roman"/>
          <w:sz w:val="24"/>
          <w:szCs w:val="24"/>
        </w:rPr>
        <w:t>Bên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rủi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hiện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đoạn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cổ</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phiếu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rủi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phiếu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kém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lượng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đang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quan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lý</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tay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vụ</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quan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vừa</w:t>
      </w:r>
      <w:proofErr w:type="spellEnd"/>
      <w:r w:rsidRPr="00A26229">
        <w:rPr>
          <w:rFonts w:ascii="Times New Roman" w:hAnsi="Times New Roman"/>
          <w:sz w:val="24"/>
          <w:szCs w:val="24"/>
        </w:rPr>
        <w:t xml:space="preserve"> qua. </w:t>
      </w:r>
      <w:proofErr w:type="spellStart"/>
      <w:r w:rsidRPr="00A26229">
        <w:rPr>
          <w:rFonts w:ascii="Times New Roman" w:hAnsi="Times New Roman"/>
          <w:sz w:val="24"/>
          <w:szCs w:val="24"/>
        </w:rPr>
        <w:t>Điều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ngắn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tâm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lý</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những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1.</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5587A" w:rsidRPr="00A90AB7" w14:paraId="013F1FB5" w14:textId="77777777" w:rsidTr="0095587A">
        <w:tc>
          <w:tcPr>
            <w:tcW w:w="1875" w:type="pct"/>
            <w:shd w:val="clear" w:color="auto" w:fill="auto"/>
            <w:vAlign w:val="center"/>
          </w:tcPr>
          <w:p w14:paraId="6740DD82" w14:textId="7184388A"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149E6E22"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14.64%</w:t>
            </w:r>
          </w:p>
        </w:tc>
        <w:tc>
          <w:tcPr>
            <w:tcW w:w="1024" w:type="pct"/>
            <w:shd w:val="clear" w:color="auto" w:fill="auto"/>
            <w:vAlign w:val="center"/>
          </w:tcPr>
          <w:p w14:paraId="1F42AD25" w14:textId="518D2F16"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28.29%</w:t>
            </w:r>
          </w:p>
        </w:tc>
        <w:tc>
          <w:tcPr>
            <w:tcW w:w="1127" w:type="pct"/>
            <w:shd w:val="clear" w:color="auto" w:fill="auto"/>
            <w:vAlign w:val="center"/>
          </w:tcPr>
          <w:p w14:paraId="5BF92CF8" w14:textId="30544F63"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30.51%</w:t>
            </w:r>
          </w:p>
        </w:tc>
      </w:tr>
      <w:tr w:rsidR="0095587A" w:rsidRPr="00A90AB7" w14:paraId="1A1556A7" w14:textId="77777777" w:rsidTr="0095587A">
        <w:tc>
          <w:tcPr>
            <w:tcW w:w="1875" w:type="pct"/>
            <w:shd w:val="clear" w:color="auto" w:fill="auto"/>
            <w:vAlign w:val="center"/>
          </w:tcPr>
          <w:p w14:paraId="6DB00EA9" w14:textId="7B12D144"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2D764E20"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-3.69%</w:t>
            </w:r>
          </w:p>
        </w:tc>
        <w:tc>
          <w:tcPr>
            <w:tcW w:w="1024" w:type="pct"/>
            <w:shd w:val="clear" w:color="auto" w:fill="auto"/>
            <w:vAlign w:val="center"/>
          </w:tcPr>
          <w:p w14:paraId="30BCD4DB" w14:textId="48820CCB"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6.23%</w:t>
            </w:r>
          </w:p>
        </w:tc>
        <w:tc>
          <w:tcPr>
            <w:tcW w:w="1127" w:type="pct"/>
            <w:shd w:val="clear" w:color="auto" w:fill="auto"/>
            <w:vAlign w:val="center"/>
          </w:tcPr>
          <w:p w14:paraId="573EAA3A" w14:textId="4031A1A9"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9.69%</w:t>
            </w:r>
          </w:p>
        </w:tc>
      </w:tr>
      <w:tr w:rsidR="0095587A" w:rsidRPr="00A90AB7" w14:paraId="5AE0FE5D" w14:textId="77777777" w:rsidTr="0095587A">
        <w:tc>
          <w:tcPr>
            <w:tcW w:w="1875" w:type="pct"/>
            <w:shd w:val="clear" w:color="auto" w:fill="auto"/>
            <w:vAlign w:val="center"/>
          </w:tcPr>
          <w:p w14:paraId="3FAA0781" w14:textId="5850A4B8"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4B13A909" w:rsidR="0095587A" w:rsidRPr="00A90AB7" w:rsidRDefault="0095587A" w:rsidP="0095587A">
            <w:pPr>
              <w:tabs>
                <w:tab w:val="left" w:pos="540"/>
              </w:tabs>
              <w:spacing w:after="0" w:line="240" w:lineRule="auto"/>
              <w:ind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20.44%</w:t>
            </w:r>
          </w:p>
        </w:tc>
        <w:tc>
          <w:tcPr>
            <w:tcW w:w="1024" w:type="pct"/>
            <w:shd w:val="clear" w:color="auto" w:fill="auto"/>
            <w:vAlign w:val="center"/>
          </w:tcPr>
          <w:p w14:paraId="79797E82" w14:textId="1750E3BC"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55.37%</w:t>
            </w:r>
          </w:p>
        </w:tc>
        <w:tc>
          <w:tcPr>
            <w:tcW w:w="1127" w:type="pct"/>
            <w:shd w:val="clear" w:color="auto" w:fill="auto"/>
            <w:vAlign w:val="center"/>
          </w:tcPr>
          <w:p w14:paraId="44F7360A" w14:textId="153D6B88"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63.87%</w:t>
            </w:r>
          </w:p>
        </w:tc>
      </w:tr>
      <w:tr w:rsidR="0095587A" w:rsidRPr="00A90AB7" w14:paraId="275BF76B" w14:textId="77777777" w:rsidTr="0095587A">
        <w:tc>
          <w:tcPr>
            <w:tcW w:w="1875" w:type="pct"/>
            <w:shd w:val="clear" w:color="auto" w:fill="auto"/>
            <w:vAlign w:val="center"/>
          </w:tcPr>
          <w:p w14:paraId="048B22BC" w14:textId="34AAB21A" w:rsidR="0095587A" w:rsidRPr="00A90AB7" w:rsidRDefault="0095587A" w:rsidP="009558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7052F7C7"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20.44%</w:t>
            </w:r>
          </w:p>
        </w:tc>
        <w:tc>
          <w:tcPr>
            <w:tcW w:w="1024" w:type="pct"/>
            <w:shd w:val="clear" w:color="auto" w:fill="auto"/>
            <w:vAlign w:val="center"/>
          </w:tcPr>
          <w:p w14:paraId="32106B9E" w14:textId="0AEF65C9"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15.81%</w:t>
            </w:r>
          </w:p>
        </w:tc>
        <w:tc>
          <w:tcPr>
            <w:tcW w:w="1127" w:type="pct"/>
            <w:shd w:val="clear" w:color="auto" w:fill="auto"/>
            <w:vAlign w:val="center"/>
          </w:tcPr>
          <w:p w14:paraId="3AFD6D6E" w14:textId="1D20994D" w:rsidR="0095587A" w:rsidRPr="00A90AB7" w:rsidRDefault="0095587A" w:rsidP="0095587A">
            <w:pPr>
              <w:tabs>
                <w:tab w:val="left" w:pos="540"/>
              </w:tabs>
              <w:spacing w:after="0" w:line="240" w:lineRule="auto"/>
              <w:ind w:left="58" w:right="58"/>
              <w:jc w:val="center"/>
              <w:rPr>
                <w:rFonts w:ascii="Times New Roman" w:eastAsia="Times New Roman" w:hAnsi="Times New Roman"/>
                <w:sz w:val="24"/>
                <w:szCs w:val="24"/>
                <w:lang w:val="nl-NL"/>
              </w:rPr>
            </w:pPr>
            <w:r w:rsidRPr="0095587A">
              <w:rPr>
                <w:rFonts w:ascii="Times New Roman" w:eastAsia="Times New Roman" w:hAnsi="Times New Roman"/>
                <w:sz w:val="24"/>
                <w:szCs w:val="24"/>
                <w:lang w:val="nl-NL"/>
              </w:rPr>
              <w:t>16.45%</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28C7C4D7" w14:textId="77777777" w:rsidR="008D0C99" w:rsidRDefault="008D0C99" w:rsidP="007B27C8">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585972EC" w14:textId="1DAAC46E" w:rsidR="00753C12" w:rsidRDefault="00A26229" w:rsidP="000C67AE">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3B3E6FE0" wp14:editId="7C861F35">
            <wp:extent cx="6086475" cy="3619500"/>
            <wp:effectExtent l="0" t="0" r="9525" b="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7B27C8" w:rsidRPr="00A90AB7" w14:paraId="7E5D6D88" w14:textId="77777777" w:rsidTr="00490079">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0721DC7D" w14:textId="33CE134A"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Pr>
                <w:rFonts w:ascii="Times New Roman" w:eastAsia="Times New Roman" w:hAnsi="Times New Roman"/>
                <w:sz w:val="24"/>
                <w:szCs w:val="24"/>
                <w:lang w:val="nl-NL"/>
              </w:rPr>
              <w:t>1</w:t>
            </w:r>
            <w:r w:rsidRPr="00922567">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2</w:t>
            </w:r>
          </w:p>
        </w:tc>
        <w:tc>
          <w:tcPr>
            <w:tcW w:w="1019" w:type="pct"/>
            <w:shd w:val="clear" w:color="auto" w:fill="auto"/>
            <w:vAlign w:val="center"/>
          </w:tcPr>
          <w:p w14:paraId="39144C33" w14:textId="20FBDF3B"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Pr>
                <w:rFonts w:ascii="Times New Roman" w:eastAsia="Times New Roman" w:hAnsi="Times New Roman"/>
                <w:sz w:val="24"/>
                <w:szCs w:val="24"/>
                <w:lang w:val="nl-NL"/>
              </w:rPr>
              <w:t>1</w:t>
            </w:r>
            <w:r w:rsidRPr="00360AD3">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03</w:t>
            </w:r>
            <w:r w:rsidRPr="00360AD3">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1</w:t>
            </w:r>
          </w:p>
        </w:tc>
        <w:tc>
          <w:tcPr>
            <w:tcW w:w="1189" w:type="pct"/>
            <w:shd w:val="clear" w:color="auto" w:fill="auto"/>
          </w:tcPr>
          <w:p w14:paraId="5ABC217C"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F61CFC" w:rsidRPr="00A90AB7" w14:paraId="252D09D8" w14:textId="77777777" w:rsidTr="00490079">
        <w:tc>
          <w:tcPr>
            <w:tcW w:w="1777" w:type="pct"/>
            <w:shd w:val="clear" w:color="auto" w:fill="auto"/>
          </w:tcPr>
          <w:p w14:paraId="613FF24A" w14:textId="77777777" w:rsidR="00F61CFC" w:rsidRPr="00A90AB7" w:rsidRDefault="00F61CFC" w:rsidP="00F61CFC">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015" w:type="pct"/>
            <w:shd w:val="clear" w:color="auto" w:fill="auto"/>
          </w:tcPr>
          <w:p w14:paraId="6D3EF2B2" w14:textId="16615D24" w:rsidR="00F61CFC" w:rsidRPr="00F61C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F61CFC">
              <w:rPr>
                <w:rFonts w:ascii="Times New Roman" w:eastAsia="Times New Roman" w:hAnsi="Times New Roman"/>
                <w:sz w:val="24"/>
                <w:szCs w:val="24"/>
                <w:lang w:val="nl-NL"/>
              </w:rPr>
              <w:t xml:space="preserve"> 160,874,405,029 </w:t>
            </w:r>
          </w:p>
        </w:tc>
        <w:tc>
          <w:tcPr>
            <w:tcW w:w="1019" w:type="pct"/>
            <w:shd w:val="clear" w:color="auto" w:fill="auto"/>
          </w:tcPr>
          <w:p w14:paraId="22F1937F" w14:textId="303EE168" w:rsidR="00F61CFC" w:rsidRPr="00F61C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F61CFC">
              <w:rPr>
                <w:rFonts w:ascii="Times New Roman" w:eastAsia="Times New Roman" w:hAnsi="Times New Roman"/>
                <w:sz w:val="24"/>
                <w:szCs w:val="24"/>
                <w:lang w:val="nl-NL"/>
              </w:rPr>
              <w:t xml:space="preserve"> 115,039,248,475 </w:t>
            </w:r>
          </w:p>
        </w:tc>
        <w:tc>
          <w:tcPr>
            <w:tcW w:w="1189" w:type="pct"/>
            <w:shd w:val="clear" w:color="auto" w:fill="auto"/>
          </w:tcPr>
          <w:p w14:paraId="28B43A4B" w14:textId="775A1683" w:rsidR="00F61CFC" w:rsidRPr="00F61C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F61CFC">
              <w:rPr>
                <w:rFonts w:ascii="Times New Roman" w:eastAsia="Times New Roman" w:hAnsi="Times New Roman"/>
                <w:sz w:val="24"/>
                <w:szCs w:val="24"/>
                <w:lang w:val="nl-NL"/>
              </w:rPr>
              <w:t>39.84%</w:t>
            </w:r>
          </w:p>
        </w:tc>
      </w:tr>
      <w:tr w:rsidR="00F61CFC" w:rsidRPr="001330FC" w14:paraId="06B82A64" w14:textId="77777777" w:rsidTr="00490079">
        <w:tc>
          <w:tcPr>
            <w:tcW w:w="1777" w:type="pct"/>
            <w:shd w:val="clear" w:color="auto" w:fill="auto"/>
          </w:tcPr>
          <w:p w14:paraId="4BDF5898" w14:textId="77777777" w:rsidR="00F61CFC" w:rsidRPr="001330FC" w:rsidRDefault="00F61CFC" w:rsidP="00F61CFC">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015" w:type="pct"/>
            <w:shd w:val="clear" w:color="auto" w:fill="auto"/>
          </w:tcPr>
          <w:p w14:paraId="525690BD" w14:textId="561EA795" w:rsidR="00F61CFC" w:rsidRPr="001330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xml:space="preserve"> 16,386.51   </w:t>
            </w:r>
          </w:p>
        </w:tc>
        <w:tc>
          <w:tcPr>
            <w:tcW w:w="1019" w:type="pct"/>
            <w:shd w:val="clear" w:color="auto" w:fill="auto"/>
          </w:tcPr>
          <w:p w14:paraId="5DFB947A" w14:textId="710FF30A" w:rsidR="00F61CFC" w:rsidRPr="001330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xml:space="preserve"> 13,606.10   </w:t>
            </w:r>
          </w:p>
        </w:tc>
        <w:tc>
          <w:tcPr>
            <w:tcW w:w="1189" w:type="pct"/>
            <w:shd w:val="clear" w:color="auto" w:fill="auto"/>
          </w:tcPr>
          <w:p w14:paraId="177BE2CA" w14:textId="0BEBC6C4" w:rsidR="00F61CFC" w:rsidRPr="001330FC" w:rsidRDefault="00F61CFC" w:rsidP="00F61CFC">
            <w:pPr>
              <w:tabs>
                <w:tab w:val="left" w:pos="540"/>
              </w:tabs>
              <w:spacing w:before="120" w:after="0" w:line="240" w:lineRule="auto"/>
              <w:jc w:val="center"/>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20.44%</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 xml:space="preserve">4.2. Thống kê về Nhà đầu tư nắm giữ Chứng chỉ </w:t>
      </w:r>
      <w:r w:rsidR="008F2B2D" w:rsidRPr="001330FC">
        <w:rPr>
          <w:rFonts w:ascii="Times New Roman" w:hAnsi="Times New Roman"/>
          <w:b/>
          <w:sz w:val="24"/>
          <w:szCs w:val="24"/>
          <w:lang w:val="nl-NL"/>
        </w:rPr>
        <w:t>Q</w:t>
      </w:r>
      <w:r w:rsidRPr="001330FC">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A26229" w:rsidRPr="00A90AB7" w14:paraId="5AC8833F"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A26229" w:rsidRPr="00A90AB7" w:rsidRDefault="00A26229" w:rsidP="00A262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sidR="007F66BE">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69AE133" w14:textId="7BD818EC"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943</w:t>
            </w:r>
          </w:p>
        </w:tc>
        <w:tc>
          <w:tcPr>
            <w:tcW w:w="2692" w:type="dxa"/>
            <w:tcBorders>
              <w:top w:val="nil"/>
              <w:left w:val="nil"/>
              <w:bottom w:val="single" w:sz="8" w:space="0" w:color="auto"/>
              <w:right w:val="single" w:sz="8" w:space="0" w:color="auto"/>
            </w:tcBorders>
            <w:shd w:val="clear" w:color="auto" w:fill="auto"/>
            <w:vAlign w:val="center"/>
          </w:tcPr>
          <w:p w14:paraId="0EBE36E9" w14:textId="2C41120B"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1,065,471.54</w:t>
            </w:r>
          </w:p>
        </w:tc>
        <w:tc>
          <w:tcPr>
            <w:tcW w:w="1696" w:type="dxa"/>
            <w:tcBorders>
              <w:top w:val="nil"/>
              <w:left w:val="nil"/>
              <w:bottom w:val="single" w:sz="8" w:space="0" w:color="auto"/>
              <w:right w:val="single" w:sz="8" w:space="0" w:color="auto"/>
            </w:tcBorders>
            <w:shd w:val="clear" w:color="auto" w:fill="auto"/>
            <w:vAlign w:val="center"/>
          </w:tcPr>
          <w:p w14:paraId="324D4E7B" w14:textId="575DFC32"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10.85%</w:t>
            </w:r>
          </w:p>
        </w:tc>
      </w:tr>
      <w:tr w:rsidR="00A26229" w:rsidRPr="00A90AB7" w14:paraId="112DFD1E"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A26229" w:rsidRPr="00A90AB7" w:rsidRDefault="00A26229" w:rsidP="00A262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sidR="007F66BE">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sidR="00F61CFC">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523D61E2" w14:textId="4BA0FFF3"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55</w:t>
            </w:r>
          </w:p>
        </w:tc>
        <w:tc>
          <w:tcPr>
            <w:tcW w:w="2692" w:type="dxa"/>
            <w:tcBorders>
              <w:top w:val="nil"/>
              <w:left w:val="nil"/>
              <w:bottom w:val="single" w:sz="8" w:space="0" w:color="auto"/>
              <w:right w:val="single" w:sz="8" w:space="0" w:color="auto"/>
            </w:tcBorders>
            <w:shd w:val="clear" w:color="auto" w:fill="auto"/>
            <w:vAlign w:val="center"/>
          </w:tcPr>
          <w:p w14:paraId="17E0FA6A" w14:textId="7A87FBCB"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371,243.17</w:t>
            </w:r>
          </w:p>
        </w:tc>
        <w:tc>
          <w:tcPr>
            <w:tcW w:w="1696" w:type="dxa"/>
            <w:tcBorders>
              <w:top w:val="nil"/>
              <w:left w:val="nil"/>
              <w:bottom w:val="single" w:sz="8" w:space="0" w:color="auto"/>
              <w:right w:val="single" w:sz="8" w:space="0" w:color="auto"/>
            </w:tcBorders>
            <w:shd w:val="clear" w:color="auto" w:fill="auto"/>
            <w:vAlign w:val="center"/>
          </w:tcPr>
          <w:p w14:paraId="2CF369C9" w14:textId="4DD397E0"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3.78%</w:t>
            </w:r>
          </w:p>
        </w:tc>
      </w:tr>
      <w:tr w:rsidR="00A26229" w:rsidRPr="00A90AB7" w14:paraId="33F2F3B6"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A26229" w:rsidRPr="00A90AB7" w:rsidRDefault="00A26229" w:rsidP="00A262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sidR="00F61CFC">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sidR="00F61CFC">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3406A864" w14:textId="49765367"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38</w:t>
            </w:r>
          </w:p>
        </w:tc>
        <w:tc>
          <w:tcPr>
            <w:tcW w:w="2692" w:type="dxa"/>
            <w:tcBorders>
              <w:top w:val="nil"/>
              <w:left w:val="nil"/>
              <w:bottom w:val="single" w:sz="8" w:space="0" w:color="auto"/>
              <w:right w:val="single" w:sz="8" w:space="0" w:color="auto"/>
            </w:tcBorders>
            <w:shd w:val="clear" w:color="auto" w:fill="auto"/>
            <w:vAlign w:val="center"/>
          </w:tcPr>
          <w:p w14:paraId="7E76C849" w14:textId="5B6A66E4"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746,894.00</w:t>
            </w:r>
          </w:p>
        </w:tc>
        <w:tc>
          <w:tcPr>
            <w:tcW w:w="1696" w:type="dxa"/>
            <w:tcBorders>
              <w:top w:val="nil"/>
              <w:left w:val="nil"/>
              <w:bottom w:val="single" w:sz="8" w:space="0" w:color="auto"/>
              <w:right w:val="single" w:sz="8" w:space="0" w:color="auto"/>
            </w:tcBorders>
            <w:shd w:val="clear" w:color="auto" w:fill="auto"/>
            <w:vAlign w:val="center"/>
          </w:tcPr>
          <w:p w14:paraId="2DEE8F0F" w14:textId="1BFA15D1"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7.61%</w:t>
            </w:r>
          </w:p>
        </w:tc>
      </w:tr>
      <w:tr w:rsidR="00A26229" w:rsidRPr="00A90AB7" w14:paraId="53AAF433"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A26229" w:rsidRPr="00A90AB7" w:rsidRDefault="00A26229" w:rsidP="00A262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sidR="00F61CFC">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sidR="00F61CFC">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62BA28D6" w14:textId="6423B65C"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7</w:t>
            </w:r>
          </w:p>
        </w:tc>
        <w:tc>
          <w:tcPr>
            <w:tcW w:w="2692" w:type="dxa"/>
            <w:tcBorders>
              <w:top w:val="nil"/>
              <w:left w:val="nil"/>
              <w:bottom w:val="single" w:sz="8" w:space="0" w:color="auto"/>
              <w:right w:val="single" w:sz="8" w:space="0" w:color="auto"/>
            </w:tcBorders>
            <w:shd w:val="clear" w:color="auto" w:fill="auto"/>
            <w:vAlign w:val="center"/>
          </w:tcPr>
          <w:p w14:paraId="1ABD868A" w14:textId="4917D38B"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633,879.09</w:t>
            </w:r>
          </w:p>
        </w:tc>
        <w:tc>
          <w:tcPr>
            <w:tcW w:w="1696" w:type="dxa"/>
            <w:tcBorders>
              <w:top w:val="nil"/>
              <w:left w:val="nil"/>
              <w:bottom w:val="single" w:sz="8" w:space="0" w:color="auto"/>
              <w:right w:val="single" w:sz="8" w:space="0" w:color="auto"/>
            </w:tcBorders>
            <w:shd w:val="clear" w:color="auto" w:fill="auto"/>
            <w:vAlign w:val="center"/>
          </w:tcPr>
          <w:p w14:paraId="73DF2C14" w14:textId="321B5975"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6.46%</w:t>
            </w:r>
          </w:p>
        </w:tc>
      </w:tr>
      <w:tr w:rsidR="00A26229" w:rsidRPr="00A90AB7" w14:paraId="656817C8"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A26229" w:rsidRPr="00A90AB7" w:rsidRDefault="00A26229" w:rsidP="00A262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sidR="00F61CFC">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vAlign w:val="center"/>
          </w:tcPr>
          <w:p w14:paraId="709B3670" w14:textId="5E43AECD"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1</w:t>
            </w:r>
          </w:p>
        </w:tc>
        <w:tc>
          <w:tcPr>
            <w:tcW w:w="2692" w:type="dxa"/>
            <w:tcBorders>
              <w:top w:val="nil"/>
              <w:left w:val="nil"/>
              <w:bottom w:val="single" w:sz="8" w:space="0" w:color="auto"/>
              <w:right w:val="single" w:sz="8" w:space="0" w:color="auto"/>
            </w:tcBorders>
            <w:shd w:val="clear" w:color="auto" w:fill="auto"/>
            <w:vAlign w:val="center"/>
          </w:tcPr>
          <w:p w14:paraId="0D84550F" w14:textId="6595CB62"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7,000,000.00</w:t>
            </w:r>
          </w:p>
        </w:tc>
        <w:tc>
          <w:tcPr>
            <w:tcW w:w="1696" w:type="dxa"/>
            <w:tcBorders>
              <w:top w:val="nil"/>
              <w:left w:val="nil"/>
              <w:bottom w:val="single" w:sz="8" w:space="0" w:color="auto"/>
              <w:right w:val="single" w:sz="8" w:space="0" w:color="auto"/>
            </w:tcBorders>
            <w:shd w:val="clear" w:color="auto" w:fill="auto"/>
            <w:vAlign w:val="center"/>
          </w:tcPr>
          <w:p w14:paraId="28BFE95B" w14:textId="3EA8516F" w:rsidR="00A26229" w:rsidRPr="00A26229" w:rsidRDefault="00A26229" w:rsidP="00A26229">
            <w:pPr>
              <w:spacing w:after="0" w:line="240" w:lineRule="auto"/>
              <w:jc w:val="center"/>
              <w:rPr>
                <w:rFonts w:ascii="Times New Roman" w:eastAsia="Times New Roman" w:hAnsi="Times New Roman"/>
                <w:iCs/>
                <w:sz w:val="24"/>
                <w:szCs w:val="24"/>
              </w:rPr>
            </w:pPr>
            <w:r w:rsidRPr="00A26229">
              <w:rPr>
                <w:rFonts w:ascii="Times New Roman" w:hAnsi="Times New Roman"/>
                <w:color w:val="000000"/>
                <w:sz w:val="24"/>
                <w:szCs w:val="24"/>
              </w:rPr>
              <w:t>71.30%</w:t>
            </w:r>
          </w:p>
        </w:tc>
      </w:tr>
      <w:tr w:rsidR="00A26229" w:rsidRPr="00A90AB7" w14:paraId="7A11D66F" w14:textId="77777777" w:rsidTr="002800A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A26229" w:rsidRPr="00A90AB7" w:rsidRDefault="00A26229" w:rsidP="00A26229">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vAlign w:val="center"/>
          </w:tcPr>
          <w:p w14:paraId="77162138" w14:textId="37C17D7A" w:rsidR="00A26229" w:rsidRPr="00A26229" w:rsidRDefault="00A26229" w:rsidP="00A26229">
            <w:pPr>
              <w:spacing w:after="0" w:line="240" w:lineRule="auto"/>
              <w:jc w:val="center"/>
              <w:rPr>
                <w:rFonts w:ascii="Times New Roman" w:eastAsia="Times New Roman" w:hAnsi="Times New Roman"/>
                <w:b/>
                <w:bCs/>
                <w:iCs/>
                <w:sz w:val="24"/>
                <w:szCs w:val="24"/>
              </w:rPr>
            </w:pPr>
            <w:r w:rsidRPr="00A26229">
              <w:rPr>
                <w:rFonts w:ascii="Times New Roman" w:hAnsi="Times New Roman"/>
                <w:b/>
                <w:bCs/>
                <w:color w:val="000000"/>
                <w:sz w:val="24"/>
                <w:szCs w:val="24"/>
              </w:rPr>
              <w:t>1044</w:t>
            </w:r>
          </w:p>
        </w:tc>
        <w:tc>
          <w:tcPr>
            <w:tcW w:w="2692" w:type="dxa"/>
            <w:tcBorders>
              <w:top w:val="nil"/>
              <w:left w:val="nil"/>
              <w:bottom w:val="single" w:sz="8" w:space="0" w:color="auto"/>
              <w:right w:val="single" w:sz="8" w:space="0" w:color="auto"/>
            </w:tcBorders>
            <w:shd w:val="clear" w:color="auto" w:fill="auto"/>
            <w:vAlign w:val="center"/>
          </w:tcPr>
          <w:p w14:paraId="270549B9" w14:textId="76E1DE3A" w:rsidR="00A26229" w:rsidRPr="00A26229" w:rsidRDefault="00A26229" w:rsidP="00A26229">
            <w:pPr>
              <w:spacing w:after="0" w:line="240" w:lineRule="auto"/>
              <w:jc w:val="center"/>
              <w:rPr>
                <w:rFonts w:ascii="Times New Roman" w:eastAsia="Times New Roman" w:hAnsi="Times New Roman"/>
                <w:b/>
                <w:bCs/>
                <w:iCs/>
                <w:sz w:val="24"/>
                <w:szCs w:val="24"/>
              </w:rPr>
            </w:pPr>
            <w:r w:rsidRPr="00A26229">
              <w:rPr>
                <w:rFonts w:ascii="Times New Roman" w:hAnsi="Times New Roman"/>
                <w:b/>
                <w:bCs/>
                <w:color w:val="000000"/>
                <w:sz w:val="24"/>
                <w:szCs w:val="24"/>
              </w:rPr>
              <w:t xml:space="preserve">         9,817,487.80 </w:t>
            </w:r>
          </w:p>
        </w:tc>
        <w:tc>
          <w:tcPr>
            <w:tcW w:w="1696" w:type="dxa"/>
            <w:tcBorders>
              <w:top w:val="nil"/>
              <w:left w:val="nil"/>
              <w:bottom w:val="single" w:sz="8" w:space="0" w:color="auto"/>
              <w:right w:val="single" w:sz="8" w:space="0" w:color="auto"/>
            </w:tcBorders>
            <w:shd w:val="clear" w:color="auto" w:fill="auto"/>
            <w:vAlign w:val="center"/>
          </w:tcPr>
          <w:p w14:paraId="10E9F2BC" w14:textId="658CFDF7" w:rsidR="00A26229" w:rsidRPr="00A26229" w:rsidRDefault="00A26229" w:rsidP="00A26229">
            <w:pPr>
              <w:spacing w:after="0" w:line="240" w:lineRule="auto"/>
              <w:jc w:val="center"/>
              <w:rPr>
                <w:rFonts w:ascii="Times New Roman" w:eastAsia="Times New Roman" w:hAnsi="Times New Roman"/>
                <w:b/>
                <w:bCs/>
                <w:iCs/>
                <w:sz w:val="24"/>
                <w:szCs w:val="24"/>
              </w:rPr>
            </w:pPr>
            <w:r w:rsidRPr="00A26229">
              <w:rPr>
                <w:rFonts w:ascii="Times New Roman" w:hAnsi="Times New Roman"/>
                <w:color w:val="000000"/>
                <w:sz w:val="24"/>
                <w:szCs w:val="24"/>
              </w:rPr>
              <w:t>100.00%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5</w:t>
      </w:r>
      <w:r w:rsidR="00BE6F63" w:rsidRPr="001330FC">
        <w:rPr>
          <w:rFonts w:ascii="Times New Roman" w:hAnsi="Times New Roman"/>
          <w:b/>
          <w:sz w:val="24"/>
          <w:szCs w:val="24"/>
          <w:lang w:val="nl-NL"/>
        </w:rPr>
        <w:t>. Thông tin về triển vọng thị trường</w:t>
      </w:r>
    </w:p>
    <w:p w14:paraId="28C40CEB" w14:textId="77777777" w:rsidR="00A26229"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043049A0" w14:textId="1A4BE5A9" w:rsidR="00A26229" w:rsidRDefault="00A26229" w:rsidP="00A26229">
      <w:pPr>
        <w:shd w:val="clear" w:color="auto" w:fill="FFFFFF"/>
        <w:tabs>
          <w:tab w:val="left" w:pos="540"/>
        </w:tabs>
        <w:spacing w:before="120" w:after="0" w:line="240" w:lineRule="auto"/>
        <w:jc w:val="both"/>
        <w:rPr>
          <w:rFonts w:ascii="Times New Roman" w:hAnsi="Times New Roman"/>
          <w:b/>
          <w:color w:val="0000CC"/>
          <w:sz w:val="24"/>
          <w:szCs w:val="24"/>
          <w:lang w:val="nl-NL"/>
        </w:rPr>
      </w:pPr>
      <w:r>
        <w:rPr>
          <w:rFonts w:ascii="Times New Roman" w:hAnsi="Times New Roman"/>
          <w:b/>
          <w:noProof/>
          <w:color w:val="0000CC"/>
          <w:sz w:val="24"/>
          <w:szCs w:val="24"/>
          <w:lang w:val="nl-NL"/>
        </w:rPr>
        <w:drawing>
          <wp:inline distT="0" distB="0" distL="0" distR="0" wp14:anchorId="6209B079" wp14:editId="50319C74">
            <wp:extent cx="5924550" cy="3705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3705225"/>
                    </a:xfrm>
                    <a:prstGeom prst="rect">
                      <a:avLst/>
                    </a:prstGeom>
                    <a:noFill/>
                    <a:ln>
                      <a:noFill/>
                    </a:ln>
                  </pic:spPr>
                </pic:pic>
              </a:graphicData>
            </a:graphic>
          </wp:inline>
        </w:drawing>
      </w:r>
    </w:p>
    <w:p w14:paraId="4B851FB8" w14:textId="159C681F" w:rsidR="00A26229"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Năm 2022, nền kinh tế Việt Nam được dự báo có nhiều khó khăn và thuận lợi đan xen nhau. Điều đó cũng đang được phản ánh trong thị trường chứng khoán trong quý 1. Trong tháng 1 và tháng 2 thị trường tăng trưởng tốt có lúc đạt kỷ lục với VN-index là 1525 điểm. Tuy nhiên với các khó khăn trong tháng 3 từ khủng hoảng địa chính trị giữa Nga và Ukraina, áp lực lạm phát từ giá cả hàng hóa quốc tế, VN-index đóng cửa ngày 31 tháng 03 năm 2022 lùi về mốc 1.492 điểm, giảm nhẹ 0.4% so với cuối năm 2021. Thanh khoản của thị trường chứng khoán vẫn được duy trì ở mức cao, đứng thứ hai trong khu vực Đông Nam Á chỉ sau Thái Lan với giá trị giao dịch trung bình là 26,000 tỷ đồng trên một phiên giao dịch. Mặc dù vậy tình trạng bán ròng của nhà đầu tư nước ngoài vẫn tiếp diễn, đối với dòng vốn ngoại đầu tư tham gia vào thị trường Việt Nam thông qua các quỹ danh mục hoán đổi (“ETF”) chưa thực sự tích cực, do đó động lực tăng trưởng của thị trường trong năm 2022 vẫn sẽ phụ thuộc vào dòng vốn trong nước của các nhà đầu tư cá nhân. Với mong muốn phát triển thị trường chứng khoán được minh bạch, hướng dòng tiền của nền kinh tế vào lĩnh vực sản xuất, giảm dần đầu cơ vào các kênh tài sản như bất động sản, chính phủ đã bắt đầu kiểm soát các giao dịch bất hợp pháp trên thị trường chứng khoán, các loại trái phiếu kém chất lượng đã phát hành trong thời gian qua. Nhiều cá nhân và tổ chức đã bị xem xét xử lý hình sự liên quan đến các hoạt động trên. Trong ngắn hạn đã gây tâm lý tiêu cực đến thị trường, dẫn đến những biến động mạnh trong các ngày đầu tháng tư. Tuy nhiên trong dài hạn dự kiến thị trường vẫn có nhiều động lực tăng trưởng mới như hiệu quả kinh doanh của doanh nghiệp có thể được cải thiện sau khi hoạt động sản xuất gần như được phục hồi, gói kích thích kinh tế trị giá 350.000 tỷ đã được </w:t>
      </w:r>
      <w:r>
        <w:rPr>
          <w:rFonts w:ascii="Times New Roman" w:hAnsi="Times New Roman"/>
          <w:sz w:val="24"/>
          <w:szCs w:val="24"/>
          <w:lang w:val="nl-NL"/>
        </w:rPr>
        <w:lastRenderedPageBreak/>
        <w:t xml:space="preserve">Quốc Hội thông qua và tiếp tục được Chính Phủ triển khai, các giải pháp làm minh bạch hóa thị trường nhằm hướng đến việc nâng hạng thị trường chứng khoán Việt Nam trong vài năm tới bắt đầu được kỳ vọng và thực thi. Mặc dù vậy nhưng nhiều khó khăn trước mắt vẫn còn đó như thiếu hụt lao động sau dịch bệnh, giá cả đầu vào tăng cao, vừa mở cửa kinh tế vừa đảm bảo an toàn, kêu gọi đưa các đơn hàng xuất khẩu, đối tác ngoại quay lại sau khi đã có những dấu hiệu dịch chuyển ra khỏi Việt Nam trong thời gian Việt Nam bị phong tỏa. </w:t>
      </w:r>
    </w:p>
    <w:p w14:paraId="4D1EB035" w14:textId="77777777" w:rsidR="00A26229"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qua đi, nền kinh tế được mở cửa lại hoàn toàn, hoạt động của doanh nghiệp hồi phục và tăng trưởng trở lại, nhiều giải pháp đẩy lùi các hoạt động đầu cơ, lũng đoạn thị trường được Chính Phủ thực thi sẽ góp phần làm minh bạch và ổn định thị trường, niềm tin của nhà đầu tư trở lại thì thị trường chứng khoán sẽ tiếp tục phục hồi và tăng trưởng trong dài hạn. Các tổ chức quốc tế đều cho rằng từ năm 2022 nền kinh tế Việt Nam sẽ hồi phục dần và tăng trưởng ổn định trong các năm tiếp theo. Trong trung dài hạn thị trường Chứng khoán Việt Nam vẫn sẽ nhiều tiềm năng phát triển khi:</w:t>
      </w:r>
    </w:p>
    <w:p w14:paraId="2D5ABD58" w14:textId="77777777" w:rsidR="00A26229" w:rsidRDefault="00A26229" w:rsidP="00A26229">
      <w:pPr>
        <w:pStyle w:val="ListParagraph"/>
        <w:numPr>
          <w:ilvl w:val="0"/>
          <w:numId w:val="17"/>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Với môi trường kinh tế vĩ mô: Việt Nam được đánh giá phát triển ổn định thể hiện qua các tiêu chí như tăng trưởng GDP sẽ trở lại sau dịch bệnh, lãi suất chưa có dấu hiệu tăng, lạm phát được kiểm soát ở mức thấp, tỷ giá dự báo tiếp tục ổn định, tình hình thu hút FDI vẫn được duy trì chưa có dấu hiệu tiêu cực,... Như vậy, nền kinh tế Việt Nam đang tiếp tục bước vào giai đoạn phát triển với một chu kỳ kinh tế mới cùng với nhiệm kỳ mới của Chính Phủ.</w:t>
      </w:r>
    </w:p>
    <w:p w14:paraId="0D1E9584" w14:textId="77777777" w:rsidR="00A26229" w:rsidRDefault="00A26229" w:rsidP="00A26229">
      <w:pPr>
        <w:pStyle w:val="ListParagraph"/>
        <w:numPr>
          <w:ilvl w:val="0"/>
          <w:numId w:val="17"/>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695A936F" w14:textId="77777777" w:rsidR="00A26229"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đang được kỳ vọng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Bên cạnh đó, những rủi ro về tình hình dịch Covid-19 có ảnh hưởng sâu rộng đến tình hình kinh tế trên toàn thế giới, và còn đó những rủi ro tiềm ẩn cần lưu ý bao gồm lạm phát tăng cao và bong bóng tài sản có dấu hiệu được thổi phồng khắp nơi trên thế giới do các chính sách ồ ạt nới lỏng tiền tệ để kích thích kinh tế phục hồi tăng trưởng hậu Covid-19, ẩn số nợ xấu trong hệ thống ngân hàng sau dich bệnh, tình hình vỡ nợ trên thị trường bất động sản của Trung Quốc tăng mạnh cuối năm 2021, bất ổn trong thương mại quốc tế, đứt gãy chuỗi cung ứng thế giới, bùng nổ giá cả hàng hóa có thể gây ra những biến động khó lường của dòng vốn đầu tư gián tiếp nước ngoài vào Thị trường Chứng khoán Việt Nam. </w:t>
      </w:r>
    </w:p>
    <w:p w14:paraId="488288AB" w14:textId="2C53235D" w:rsidR="005146DD" w:rsidRDefault="00A26229" w:rsidP="007B27C8">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vậy, với các yếu tố cơ bản về giá trị kết hợp với các yếu tố định tính như phân tích ở trên cho thấy Thị trường Chứng khoán Việt Nam trong thời gian tới tiếp tục có những kịch bản sáng sủa cùng với kỳ vọng tiếp tục khởi sắc dần của nền kinh tế, tạo tiền đề cho sự phát triển lâu dài trong những năm tiếp theo; và dĩ nhiên bức tranh sáng sủa phải kèm theo những giả định về điều kiện </w:t>
      </w:r>
      <w:r>
        <w:rPr>
          <w:rFonts w:ascii="Times New Roman" w:hAnsi="Times New Roman"/>
          <w:sz w:val="24"/>
          <w:szCs w:val="24"/>
          <w:lang w:val="nl-NL"/>
        </w:rPr>
        <w:lastRenderedPageBreak/>
        <w:t>dịch bệnh Covid-19 được đẩy lùi, các rủi ro từ bên ngoài, lạm phát và rủi ro của hệ thống ngân hàng thương mại trong tầm kiểm soát.</w:t>
      </w:r>
    </w:p>
    <w:p w14:paraId="617B37D4" w14:textId="77777777" w:rsidR="007B27C8" w:rsidRDefault="007B27C8" w:rsidP="007B27C8">
      <w:pPr>
        <w:shd w:val="clear" w:color="auto" w:fill="FFFFFF"/>
        <w:tabs>
          <w:tab w:val="left" w:pos="540"/>
        </w:tabs>
        <w:spacing w:before="120" w:after="0" w:line="240" w:lineRule="auto"/>
        <w:jc w:val="both"/>
        <w:rPr>
          <w:rFonts w:ascii="Times New Roman" w:hAnsi="Times New Roman"/>
          <w:sz w:val="24"/>
          <w:szCs w:val="24"/>
          <w:lang w:val="nl-NL"/>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6</w:t>
      </w:r>
      <w:r w:rsidR="00BE6F63" w:rsidRPr="001330FC">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7B27C8" w:rsidRPr="00A90AB7" w14:paraId="06984D68" w14:textId="77777777" w:rsidTr="0083372E">
        <w:tc>
          <w:tcPr>
            <w:tcW w:w="2970" w:type="dxa"/>
          </w:tcPr>
          <w:p w14:paraId="23048D4A" w14:textId="77777777" w:rsidR="007B27C8" w:rsidRPr="00DF533C" w:rsidRDefault="007B27C8" w:rsidP="007B27C8">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00AD1951" w14:textId="77777777" w:rsidR="007B27C8" w:rsidRPr="00DF533C" w:rsidRDefault="007B27C8" w:rsidP="007B27C8">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0BB0EC34" w14:textId="77777777" w:rsidR="007B27C8" w:rsidRPr="00DF533C" w:rsidRDefault="007B27C8" w:rsidP="007B27C8">
            <w:pPr>
              <w:pStyle w:val="ListParagraph"/>
              <w:tabs>
                <w:tab w:val="left" w:pos="540"/>
              </w:tabs>
              <w:ind w:left="0"/>
              <w:rPr>
                <w:rFonts w:ascii="Times New Roman" w:hAnsi="Times New Roman"/>
                <w:iCs/>
                <w:sz w:val="24"/>
                <w:szCs w:val="24"/>
                <w:lang w:val="nl-NL"/>
              </w:rPr>
            </w:pPr>
          </w:p>
          <w:p w14:paraId="08D79F84" w14:textId="77777777" w:rsidR="007B27C8" w:rsidRPr="00A90AB7" w:rsidRDefault="007B27C8" w:rsidP="007B27C8">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F5A034F" w14:textId="77777777" w:rsidR="007B27C8" w:rsidRPr="00DF533C" w:rsidRDefault="007B27C8" w:rsidP="007B27C8">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1B3DCC13"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2CCAB2F2"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773FB0AC"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169B09E"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2EA97A3C"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36C32BA9"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786EC064" w14:textId="77777777" w:rsidR="007B27C8" w:rsidRPr="00DF533C" w:rsidRDefault="007B27C8" w:rsidP="007B27C8">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4BD7BFE7" w:rsidR="007B27C8" w:rsidRPr="00A90AB7" w:rsidRDefault="007B27C8" w:rsidP="007B27C8">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7B27C8" w:rsidRPr="00A90AB7" w14:paraId="1AAD9BAC" w14:textId="77777777" w:rsidTr="005E549F">
        <w:tc>
          <w:tcPr>
            <w:tcW w:w="2970" w:type="dxa"/>
          </w:tcPr>
          <w:p w14:paraId="5C4098BC" w14:textId="77777777" w:rsidR="007B27C8" w:rsidRPr="00DF533C" w:rsidRDefault="007B27C8" w:rsidP="007B27C8">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35304362" w:rsidR="007B27C8" w:rsidRPr="00A90AB7" w:rsidRDefault="007B27C8" w:rsidP="007B27C8">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t>Phó Giám đốc, Trưởng Bộ phận Kế hoạch Công ty và Quản trị Rủi ro</w:t>
            </w:r>
          </w:p>
        </w:tc>
        <w:tc>
          <w:tcPr>
            <w:tcW w:w="6390" w:type="dxa"/>
          </w:tcPr>
          <w:p w14:paraId="68F321B3" w14:textId="77777777" w:rsidR="007B27C8" w:rsidRPr="00DF533C" w:rsidRDefault="007B27C8" w:rsidP="007B27C8">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5260B87A"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sĩ Kinh tế, Đại học Hitotsubashi, Nhật Bản;</w:t>
            </w:r>
          </w:p>
          <w:p w14:paraId="6392021A"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73677ADB" w14:textId="77777777" w:rsidR="007B27C8" w:rsidRPr="00DF533C" w:rsidRDefault="007B27C8" w:rsidP="007B27C8">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63E11479" w:rsidR="007B27C8" w:rsidRPr="00A90AB7" w:rsidRDefault="007B27C8" w:rsidP="007B27C8">
            <w:pPr>
              <w:spacing w:before="120" w:line="240" w:lineRule="auto"/>
              <w:ind w:hanging="18"/>
              <w:jc w:val="both"/>
              <w:rPr>
                <w:rFonts w:ascii="Times New Roman" w:hAnsi="Times New Roman"/>
                <w:sz w:val="24"/>
                <w:szCs w:val="24"/>
                <w:lang w:val="nl-NL"/>
              </w:rPr>
            </w:pPr>
            <w:r w:rsidRPr="00DF533C">
              <w:rPr>
                <w:rFonts w:ascii="Times New Roman" w:hAnsi="Times New Roman"/>
                <w:sz w:val="24"/>
                <w:szCs w:val="24"/>
                <w:lang w:val="nl-NL"/>
              </w:rPr>
              <w:t xml:space="preserve">Ông đã có 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w:t>
            </w:r>
            <w:r w:rsidRPr="00DF533C">
              <w:rPr>
                <w:rFonts w:ascii="Times New Roman" w:hAnsi="Times New Roman"/>
                <w:sz w:val="24"/>
                <w:szCs w:val="24"/>
                <w:lang w:val="nl-NL"/>
              </w:rPr>
              <w:lastRenderedPageBreak/>
              <w:t>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7B27C8" w:rsidRPr="00A90AB7" w14:paraId="6F543997" w14:textId="77777777" w:rsidTr="005E549F">
        <w:tc>
          <w:tcPr>
            <w:tcW w:w="2970" w:type="dxa"/>
          </w:tcPr>
          <w:p w14:paraId="16641628" w14:textId="77777777" w:rsidR="007B27C8" w:rsidRPr="00DF533C" w:rsidRDefault="007B27C8" w:rsidP="007B27C8">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lastRenderedPageBreak/>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18B2C6F0" w:rsidR="007B27C8" w:rsidRPr="00A90AB7" w:rsidRDefault="007B27C8" w:rsidP="007B27C8">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51BACAFC" w14:textId="77777777" w:rsidR="007B27C8" w:rsidRPr="00DF533C" w:rsidRDefault="007B27C8" w:rsidP="007B27C8">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0A19B1" w14:textId="77777777" w:rsidR="007B27C8" w:rsidRPr="00DF533C"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4C883D3E" w14:textId="77777777" w:rsidR="007B27C8" w:rsidRPr="00DF533C"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21A2583B"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6C1F87B4" w14:textId="77777777" w:rsidR="007B27C8" w:rsidRPr="00DF533C"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10A5EE0B" w14:textId="77777777" w:rsidR="007B27C8" w:rsidRPr="00DF533C" w:rsidRDefault="007B27C8" w:rsidP="007B27C8">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89A64C5" w:rsidR="007B27C8" w:rsidRPr="00A90AB7" w:rsidRDefault="007B27C8" w:rsidP="007B27C8">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43B9E45" w:rsidR="00E92263"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7B27C8" w:rsidRPr="00A90AB7" w14:paraId="59D5C2CB" w14:textId="77777777" w:rsidTr="0083372E">
        <w:tc>
          <w:tcPr>
            <w:tcW w:w="2970" w:type="dxa"/>
          </w:tcPr>
          <w:p w14:paraId="0B27F8A5" w14:textId="77777777" w:rsidR="007B27C8" w:rsidRPr="007B27C8" w:rsidRDefault="007B27C8" w:rsidP="007B27C8">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177A7A2E" w:rsidR="007B27C8" w:rsidRPr="007B27C8" w:rsidRDefault="007B27C8" w:rsidP="007B27C8">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Phó Giám đốc Đầu tư</w:t>
            </w:r>
          </w:p>
        </w:tc>
        <w:tc>
          <w:tcPr>
            <w:tcW w:w="6390" w:type="dxa"/>
          </w:tcPr>
          <w:p w14:paraId="3E1A4149" w14:textId="77777777" w:rsidR="007B27C8" w:rsidRPr="007B27C8" w:rsidRDefault="007B27C8" w:rsidP="007B27C8">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10477047" w14:textId="77777777" w:rsidR="007B27C8" w:rsidRPr="007B27C8"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FAB16B5" w14:textId="77777777" w:rsidR="007B27C8" w:rsidRPr="007B27C8"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0192D91A" w14:textId="77777777" w:rsidR="007B27C8" w:rsidRPr="007B27C8"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799F6886" w14:textId="77777777" w:rsidR="007B27C8" w:rsidRPr="007B27C8"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36F5A96" w14:textId="77777777" w:rsidR="007B27C8" w:rsidRPr="007B27C8" w:rsidRDefault="007B27C8" w:rsidP="007B27C8">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76FD711" w:rsidR="007B27C8" w:rsidRPr="007B27C8" w:rsidRDefault="007B27C8" w:rsidP="007B27C8">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w:t>
            </w:r>
            <w:r w:rsidRPr="007B27C8">
              <w:rPr>
                <w:rFonts w:ascii="Times New Roman" w:hAnsi="Times New Roman"/>
                <w:sz w:val="24"/>
                <w:szCs w:val="24"/>
                <w:lang w:val="nl-NL"/>
              </w:rPr>
              <w:lastRenderedPageBreak/>
              <w:t xml:space="preserve">Nhân Việt, Công ty TNHH Bảo hiểm Nhân thọ Dai-ichi Việt Nam và Công ty TNHH Một Thành Viên Quản lý Quỹ Dai-ichi Life Việt Nam. </w:t>
            </w:r>
          </w:p>
        </w:tc>
      </w:tr>
      <w:tr w:rsidR="007B27C8" w:rsidRPr="00A90AB7" w14:paraId="3AD01E93" w14:textId="77777777" w:rsidTr="0083372E">
        <w:tc>
          <w:tcPr>
            <w:tcW w:w="2970" w:type="dxa"/>
          </w:tcPr>
          <w:p w14:paraId="3A81E058" w14:textId="77777777" w:rsidR="007B27C8" w:rsidRPr="007B27C8" w:rsidRDefault="007B27C8" w:rsidP="007B27C8">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lastRenderedPageBreak/>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23886F34" w14:textId="77777777" w:rsidR="007B27C8" w:rsidRPr="007B27C8" w:rsidRDefault="007B27C8" w:rsidP="007B27C8">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441EF28F" w:rsidR="007B27C8" w:rsidRPr="007B27C8" w:rsidRDefault="007B27C8" w:rsidP="007B27C8">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7194933D" w14:textId="77777777" w:rsidR="007B27C8" w:rsidRPr="007B27C8" w:rsidRDefault="007B27C8" w:rsidP="007B27C8">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6BE18C42" w14:textId="77777777" w:rsidR="007B27C8" w:rsidRPr="007B27C8"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46CEBEFB" w14:textId="77777777" w:rsidR="007B27C8" w:rsidRPr="007B27C8" w:rsidRDefault="007B27C8" w:rsidP="007B27C8">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04817888" w14:textId="77777777" w:rsidR="007B27C8" w:rsidRPr="007B27C8" w:rsidRDefault="007B27C8" w:rsidP="007B27C8">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05C65326" w14:textId="77777777" w:rsidR="007B27C8" w:rsidRPr="007B27C8" w:rsidRDefault="007B27C8" w:rsidP="007B27C8">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0D693055" w:rsidR="007B27C8" w:rsidRPr="007B27C8" w:rsidRDefault="007B27C8" w:rsidP="007B27C8">
            <w:pPr>
              <w:spacing w:before="120"/>
              <w:rPr>
                <w:rFonts w:ascii="Times New Roman" w:hAnsi="Times New Roman"/>
                <w:sz w:val="24"/>
                <w:szCs w:val="24"/>
                <w:lang w:val="nl-NL"/>
              </w:rPr>
            </w:pPr>
            <w:r w:rsidRPr="007B27C8">
              <w:rPr>
                <w:rFonts w:ascii="Times New Roman" w:hAnsi="Times New Roman"/>
                <w:sz w:val="24"/>
                <w:szCs w:val="24"/>
                <w:lang w:val="nl-NL"/>
              </w:rPr>
              <w:t>Trên mười bốn (14)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7B27C8" w:rsidRPr="00A90AB7" w14:paraId="73433A03" w14:textId="77777777" w:rsidTr="006E2436">
        <w:tc>
          <w:tcPr>
            <w:tcW w:w="2970" w:type="dxa"/>
          </w:tcPr>
          <w:p w14:paraId="15643EF5" w14:textId="77777777" w:rsidR="007B27C8" w:rsidRPr="00DF533C" w:rsidRDefault="007B27C8" w:rsidP="007B27C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41D00589" w:rsidR="007B27C8" w:rsidRPr="00A90AB7" w:rsidRDefault="007B27C8" w:rsidP="007B27C8">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64B267B9" w14:textId="77777777" w:rsidR="007B27C8" w:rsidRPr="00DF533C" w:rsidRDefault="007B27C8" w:rsidP="007B27C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2B420EFB" w:rsidR="007B27C8" w:rsidRPr="00A90AB7" w:rsidRDefault="007B27C8" w:rsidP="007B27C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7B27C8" w:rsidRPr="00A90AB7" w14:paraId="288605CE" w14:textId="77777777" w:rsidTr="006E2436">
        <w:tc>
          <w:tcPr>
            <w:tcW w:w="2970" w:type="dxa"/>
          </w:tcPr>
          <w:p w14:paraId="204586CE" w14:textId="77777777" w:rsidR="007B27C8" w:rsidRPr="00DF533C" w:rsidRDefault="007B27C8" w:rsidP="007B27C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26515B96" w:rsidR="007B27C8" w:rsidRPr="00A90AB7" w:rsidRDefault="007B27C8" w:rsidP="007B27C8">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3FE9ABE3" w14:textId="77777777" w:rsidR="007B27C8" w:rsidRPr="00DF533C" w:rsidRDefault="007B27C8" w:rsidP="007B27C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27406F9" w14:textId="77777777" w:rsidR="007B27C8" w:rsidRPr="00DF533C" w:rsidRDefault="007B27C8" w:rsidP="007B27C8">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383C3A53" w:rsidR="007B27C8" w:rsidRPr="00A90AB7" w:rsidRDefault="007B27C8" w:rsidP="007B27C8">
            <w:pPr>
              <w:spacing w:before="120" w:after="120"/>
              <w:jc w:val="both"/>
              <w:rPr>
                <w:rFonts w:ascii="Times New Roman" w:hAnsi="Times New Roman"/>
                <w:sz w:val="24"/>
                <w:szCs w:val="24"/>
              </w:rPr>
            </w:pPr>
            <w:r w:rsidRPr="00DF533C">
              <w:rPr>
                <w:rFonts w:ascii="Times New Roman" w:hAnsi="Times New Roman"/>
                <w:sz w:val="24"/>
                <w:szCs w:val="24"/>
                <w:lang w:val="nl-NL"/>
              </w:rPr>
              <w:lastRenderedPageBreak/>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7B27C8" w:rsidRPr="00A90AB7" w14:paraId="1FAC4175" w14:textId="77777777" w:rsidTr="006E2436">
        <w:tc>
          <w:tcPr>
            <w:tcW w:w="2970" w:type="dxa"/>
          </w:tcPr>
          <w:p w14:paraId="79966103" w14:textId="77777777" w:rsidR="007B27C8" w:rsidRPr="00DF533C" w:rsidRDefault="007B27C8" w:rsidP="007B27C8">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19149F49" w:rsidR="007B27C8" w:rsidRPr="00A90AB7" w:rsidRDefault="007B27C8" w:rsidP="007B27C8">
            <w:pPr>
              <w:spacing w:before="120" w:after="12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03BF7196" w14:textId="77777777" w:rsidR="007B27C8" w:rsidRPr="00DF533C" w:rsidRDefault="007B27C8" w:rsidP="007B27C8">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2752709" w14:textId="77777777" w:rsidR="007B27C8" w:rsidRPr="00DF533C" w:rsidRDefault="007B27C8" w:rsidP="007B27C8">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4367702B" w:rsidR="007B27C8" w:rsidRPr="00A90AB7" w:rsidRDefault="007B27C8" w:rsidP="007B27C8">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42C0CA28"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EF226D">
        <w:rPr>
          <w:rFonts w:ascii="Times New Roman" w:eastAsia="Times New Roman" w:hAnsi="Times New Roman"/>
          <w:i/>
          <w:sz w:val="24"/>
          <w:szCs w:val="24"/>
          <w:lang w:val="nl-NL"/>
        </w:rPr>
        <w:t>14</w:t>
      </w:r>
      <w:r w:rsidRPr="00A90AB7">
        <w:rPr>
          <w:rFonts w:ascii="Times New Roman" w:eastAsia="Times New Roman" w:hAnsi="Times New Roman"/>
          <w:i/>
          <w:sz w:val="24"/>
          <w:szCs w:val="24"/>
          <w:lang w:val="nl-NL"/>
        </w:rPr>
        <w:t xml:space="preserve"> tháng </w:t>
      </w:r>
      <w:r w:rsidR="004D7871">
        <w:rPr>
          <w:rFonts w:ascii="Times New Roman" w:eastAsia="Times New Roman" w:hAnsi="Times New Roman"/>
          <w:i/>
          <w:sz w:val="24"/>
          <w:szCs w:val="24"/>
          <w:lang w:val="nl-NL"/>
        </w:rPr>
        <w:t>0</w:t>
      </w:r>
      <w:r w:rsidR="00EF226D">
        <w:rPr>
          <w:rFonts w:ascii="Times New Roman" w:eastAsia="Times New Roman" w:hAnsi="Times New Roman"/>
          <w:i/>
          <w:sz w:val="24"/>
          <w:szCs w:val="24"/>
          <w:lang w:val="nl-NL"/>
        </w:rPr>
        <w:t>4</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4D7871">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37432471"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6B455B0" w14:textId="77777777" w:rsidR="00BF217F" w:rsidRPr="00A90AB7" w:rsidRDefault="00BF217F"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87AE7"/>
    <w:rsid w:val="00091CAB"/>
    <w:rsid w:val="000B431B"/>
    <w:rsid w:val="000C014D"/>
    <w:rsid w:val="000C4474"/>
    <w:rsid w:val="000C67AE"/>
    <w:rsid w:val="000D074B"/>
    <w:rsid w:val="000D3A01"/>
    <w:rsid w:val="000E3B0B"/>
    <w:rsid w:val="000E5FE9"/>
    <w:rsid w:val="000F2123"/>
    <w:rsid w:val="000F601D"/>
    <w:rsid w:val="00116153"/>
    <w:rsid w:val="00123825"/>
    <w:rsid w:val="00131315"/>
    <w:rsid w:val="001330FC"/>
    <w:rsid w:val="00137C1F"/>
    <w:rsid w:val="00147E0F"/>
    <w:rsid w:val="00151BC4"/>
    <w:rsid w:val="00156661"/>
    <w:rsid w:val="001660FB"/>
    <w:rsid w:val="00171D24"/>
    <w:rsid w:val="0017714B"/>
    <w:rsid w:val="0018025F"/>
    <w:rsid w:val="00181C49"/>
    <w:rsid w:val="001966AE"/>
    <w:rsid w:val="001B0B30"/>
    <w:rsid w:val="001B784B"/>
    <w:rsid w:val="001C4B96"/>
    <w:rsid w:val="001D49A9"/>
    <w:rsid w:val="001E40A2"/>
    <w:rsid w:val="001E4811"/>
    <w:rsid w:val="00203124"/>
    <w:rsid w:val="00220EA1"/>
    <w:rsid w:val="002243DA"/>
    <w:rsid w:val="00245818"/>
    <w:rsid w:val="002616E7"/>
    <w:rsid w:val="0026620B"/>
    <w:rsid w:val="002841FF"/>
    <w:rsid w:val="002A14C7"/>
    <w:rsid w:val="002D4C06"/>
    <w:rsid w:val="002E1952"/>
    <w:rsid w:val="003011A5"/>
    <w:rsid w:val="00315A8E"/>
    <w:rsid w:val="00324B82"/>
    <w:rsid w:val="003329D6"/>
    <w:rsid w:val="003355C3"/>
    <w:rsid w:val="00360AD3"/>
    <w:rsid w:val="00363C83"/>
    <w:rsid w:val="0037699B"/>
    <w:rsid w:val="00386B2A"/>
    <w:rsid w:val="003875D1"/>
    <w:rsid w:val="00390432"/>
    <w:rsid w:val="00394460"/>
    <w:rsid w:val="003A4C1C"/>
    <w:rsid w:val="003A4D71"/>
    <w:rsid w:val="003B07B0"/>
    <w:rsid w:val="003D42C3"/>
    <w:rsid w:val="003E3D5C"/>
    <w:rsid w:val="003F36B2"/>
    <w:rsid w:val="00420BBF"/>
    <w:rsid w:val="00450792"/>
    <w:rsid w:val="004532C3"/>
    <w:rsid w:val="00455789"/>
    <w:rsid w:val="004573A2"/>
    <w:rsid w:val="00460C69"/>
    <w:rsid w:val="0046119D"/>
    <w:rsid w:val="004647B9"/>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66BE"/>
    <w:rsid w:val="008001E9"/>
    <w:rsid w:val="00804BBD"/>
    <w:rsid w:val="00816829"/>
    <w:rsid w:val="00826BB2"/>
    <w:rsid w:val="00830EAF"/>
    <w:rsid w:val="0083372E"/>
    <w:rsid w:val="00860234"/>
    <w:rsid w:val="00860A96"/>
    <w:rsid w:val="008707C6"/>
    <w:rsid w:val="008731A7"/>
    <w:rsid w:val="008873DE"/>
    <w:rsid w:val="008939A1"/>
    <w:rsid w:val="008971AB"/>
    <w:rsid w:val="00897BB3"/>
    <w:rsid w:val="008D0C99"/>
    <w:rsid w:val="008D629B"/>
    <w:rsid w:val="008E75CF"/>
    <w:rsid w:val="008F2B2D"/>
    <w:rsid w:val="008F3818"/>
    <w:rsid w:val="00912E19"/>
    <w:rsid w:val="0093157F"/>
    <w:rsid w:val="0093357C"/>
    <w:rsid w:val="00935B7F"/>
    <w:rsid w:val="0095587A"/>
    <w:rsid w:val="0096793F"/>
    <w:rsid w:val="00967CA8"/>
    <w:rsid w:val="00981F7A"/>
    <w:rsid w:val="00982758"/>
    <w:rsid w:val="00985B28"/>
    <w:rsid w:val="009C5637"/>
    <w:rsid w:val="009D5686"/>
    <w:rsid w:val="009D7171"/>
    <w:rsid w:val="009F4856"/>
    <w:rsid w:val="00A002EB"/>
    <w:rsid w:val="00A04A2C"/>
    <w:rsid w:val="00A16D50"/>
    <w:rsid w:val="00A26229"/>
    <w:rsid w:val="00A27B9B"/>
    <w:rsid w:val="00A354B3"/>
    <w:rsid w:val="00A377D1"/>
    <w:rsid w:val="00A42F64"/>
    <w:rsid w:val="00A44447"/>
    <w:rsid w:val="00A474F7"/>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729E"/>
    <w:rsid w:val="00B83A7D"/>
    <w:rsid w:val="00B97429"/>
    <w:rsid w:val="00B97B26"/>
    <w:rsid w:val="00BA4D7F"/>
    <w:rsid w:val="00BD079F"/>
    <w:rsid w:val="00BE1598"/>
    <w:rsid w:val="00BE6F63"/>
    <w:rsid w:val="00BF217F"/>
    <w:rsid w:val="00BF44CF"/>
    <w:rsid w:val="00C17A7C"/>
    <w:rsid w:val="00C326B2"/>
    <w:rsid w:val="00C3684A"/>
    <w:rsid w:val="00C41CA6"/>
    <w:rsid w:val="00C5103F"/>
    <w:rsid w:val="00C527C7"/>
    <w:rsid w:val="00C5765C"/>
    <w:rsid w:val="00C8194B"/>
    <w:rsid w:val="00C83D1E"/>
    <w:rsid w:val="00CA76CF"/>
    <w:rsid w:val="00CC0FF9"/>
    <w:rsid w:val="00CD495C"/>
    <w:rsid w:val="00D10122"/>
    <w:rsid w:val="00D11DF9"/>
    <w:rsid w:val="00D135E8"/>
    <w:rsid w:val="00D32EB2"/>
    <w:rsid w:val="00D55232"/>
    <w:rsid w:val="00D66826"/>
    <w:rsid w:val="00D806C4"/>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A431F"/>
    <w:rsid w:val="00EB7C98"/>
    <w:rsid w:val="00EC1DDD"/>
    <w:rsid w:val="00ED4A9C"/>
    <w:rsid w:val="00EE2193"/>
    <w:rsid w:val="00EE3F61"/>
    <w:rsid w:val="00EF226D"/>
    <w:rsid w:val="00EF41E2"/>
    <w:rsid w:val="00F01A1F"/>
    <w:rsid w:val="00F075DE"/>
    <w:rsid w:val="00F23C43"/>
    <w:rsid w:val="00F61CFC"/>
    <w:rsid w:val="00F72260"/>
    <w:rsid w:val="00F92921"/>
    <w:rsid w:val="00FA0348"/>
    <w:rsid w:val="00FA2A53"/>
    <w:rsid w:val="00FB29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dPt>
            <c:idx val="125"/>
            <c:marker>
              <c:symbol val="none"/>
            </c:marker>
            <c:bubble3D val="0"/>
            <c:extLst>
              <c:ext xmlns:c16="http://schemas.microsoft.com/office/drawing/2014/chart" uri="{C3380CC4-5D6E-409C-BE32-E72D297353CC}">
                <c16:uniqueId val="{00000000-C15C-4FB5-A97F-3E3D0C374A32}"/>
              </c:ext>
            </c:extLst>
          </c:dPt>
          <c:cat>
            <c:numRef>
              <c:f>Chart!$A$2:$A$273</c:f>
              <c:numCache>
                <c:formatCode>[$-409]d\-mmm\-yy;@</c:formatCode>
                <c:ptCount val="272"/>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0</c:v>
                </c:pt>
                <c:pt idx="200">
                  <c:v>0</c:v>
                </c:pt>
                <c:pt idx="201">
                  <c:v>0</c:v>
                </c:pt>
              </c:numCache>
            </c:numRef>
          </c:cat>
          <c:val>
            <c:numRef>
              <c:f>Chart!$B$2:$B$273</c:f>
              <c:numCache>
                <c:formatCode>_(* #,##0.00_);_(* \(#,##0.00\);_(* "-"??_);_(@_)</c:formatCode>
                <c:ptCount val="272"/>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0</c:v>
                </c:pt>
                <c:pt idx="200">
                  <c:v>0</c:v>
                </c:pt>
                <c:pt idx="201">
                  <c:v>0</c:v>
                </c:pt>
              </c:numCache>
            </c:numRef>
          </c:val>
          <c:smooth val="0"/>
          <c:extLst>
            <c:ext xmlns:c16="http://schemas.microsoft.com/office/drawing/2014/chart" uri="{C3380CC4-5D6E-409C-BE32-E72D297353CC}">
              <c16:uniqueId val="{00000001-C15C-4FB5-A97F-3E3D0C374A32}"/>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DbD2sGgPy/OJ7zcK4/E8MUcmWkc=</DigestValue>
    </Reference>
    <Reference Type="http://www.w3.org/2000/09/xmldsig#Object" URI="#idOfficeObject">
      <DigestMethod Algorithm="http://www.w3.org/2000/09/xmldsig#sha1"/>
      <DigestValue>aF5FDmJIpki9nzJ2YSqwwUUyKHM=</DigestValue>
    </Reference>
    <Reference Type="http://uri.etsi.org/01903#SignedProperties" URI="#idSignedProperties">
      <Transforms>
        <Transform Algorithm="http://www.w3.org/TR/2001/REC-xml-c14n-20010315"/>
      </Transforms>
      <DigestMethod Algorithm="http://www.w3.org/2000/09/xmldsig#sha1"/>
      <DigestValue>lbiFEtwf3HR6DHPmuPLe4Z0lXF4=</DigestValue>
    </Reference>
  </SignedInfo>
  <SignatureValue>me+uU2o4btAk3Uvju2/zxKJs+drdQ4x35Zrjvtp7/nNvCjSSa4NAJjTXFsCeREtQvEzjO/zOJr7B
HdwLVDXoZzpuLc5Hty9H3WRsxnxIrwRICfibQAvqrISYS46jaDbR+umPB8Sap/JmRTWVPz8I//A5
5rXEmy3hU5z1kbsCXlQ=</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SO4F7Assp4Ael4wrXBoNSvj+j3I=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WzRWi8H2/B1MUOe22U6QPD8mn1w=</DigestValue>
      </Reference>
      <Reference URI="/word/charts/chart1.xml?ContentType=application/vnd.openxmlformats-officedocument.drawingml.chart+xml">
        <DigestMethod Algorithm="http://www.w3.org/2000/09/xmldsig#sha1"/>
        <DigestValue>FH6wWzQy9oCGoIOSy/+3UgZ54jU=</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32j+ZuUcLUzhSC2ufP9kNQia+Go=</DigestValue>
      </Reference>
      <Reference URI="/word/fontTable.xml?ContentType=application/vnd.openxmlformats-officedocument.wordprocessingml.fontTable+xml">
        <DigestMethod Algorithm="http://www.w3.org/2000/09/xmldsig#sha1"/>
        <DigestValue>WS/jGUKR1fcn54A0C/e8DXVRp30=</DigestValue>
      </Reference>
      <Reference URI="/word/media/image1.png?ContentType=image/png">
        <DigestMethod Algorithm="http://www.w3.org/2000/09/xmldsig#sha1"/>
        <DigestValue>+rXtu95j8PMaC2qZ5UFqd0D2w78=</DigestValue>
      </Reference>
      <Reference URI="/word/numbering.xml?ContentType=application/vnd.openxmlformats-officedocument.wordprocessingml.numbering+xml">
        <DigestMethod Algorithm="http://www.w3.org/2000/09/xmldsig#sha1"/>
        <DigestValue>20emhMAbZbXvYqqTWWuPEDPXpwc=</DigestValue>
      </Reference>
      <Reference URI="/word/settings.xml?ContentType=application/vnd.openxmlformats-officedocument.wordprocessingml.settings+xml">
        <DigestMethod Algorithm="http://www.w3.org/2000/09/xmldsig#sha1"/>
        <DigestValue>AchM4Kytg5qnXiZXTBxdZEMIPso=</DigestValue>
      </Reference>
      <Reference URI="/word/styles.xml?ContentType=application/vnd.openxmlformats-officedocument.wordprocessingml.styles+xml">
        <DigestMethod Algorithm="http://www.w3.org/2000/09/xmldsig#sha1"/>
        <DigestValue>f4W4LnU/M93M3KgIJM19R1EgJD0=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2022-04-15T11:08:46Z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16.0.15028/23</OfficeVersion>
          <ApplicationVersion>16.0.15028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2022-04-15T11:08:46Z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71</cp:revision>
  <dcterms:created xsi:type="dcterms:W3CDTF">2020-10-12T08:01:00Z</dcterms:created>
  <dcterms:modified xsi:type="dcterms:W3CDTF">2022-04-15T11:08:00Z</dcterms:modified>
</cp:coreProperties>
</file>