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0FADEAB6"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 xml:space="preserve">I/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2E6ADD">
        <w:rPr>
          <w:rFonts w:ascii="Times New Roman" w:hAnsi="Times New Roman"/>
          <w:b/>
          <w:i/>
          <w:sz w:val="24"/>
          <w:szCs w:val="24"/>
          <w:lang w:val="nl-NL"/>
        </w:rPr>
        <w:t>2</w:t>
      </w:r>
      <w:r w:rsidRPr="00A90AB7">
        <w:rPr>
          <w:rFonts w:ascii="Times New Roman" w:hAnsi="Times New Roman"/>
          <w:b/>
          <w:i/>
          <w:sz w:val="24"/>
          <w:szCs w:val="24"/>
          <w:lang w:val="nl-NL"/>
        </w:rPr>
        <w:t>)</w:t>
      </w:r>
    </w:p>
    <w:p w14:paraId="57F92425" w14:textId="49F18EBD" w:rsidR="00BE6F63" w:rsidRPr="00A90AB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Pr>
          <w:rFonts w:ascii="Times New Roman" w:hAnsi="Times New Roman"/>
          <w:b/>
          <w:sz w:val="24"/>
          <w:szCs w:val="24"/>
          <w:lang w:val="nl-NL"/>
        </w:rPr>
        <w:t>1</w:t>
      </w:r>
      <w:r w:rsidR="00BE6F63" w:rsidRPr="00A90AB7">
        <w:rPr>
          <w:rFonts w:ascii="Times New Roman" w:hAnsi="Times New Roman"/>
          <w:b/>
          <w:sz w:val="24"/>
          <w:szCs w:val="24"/>
          <w:lang w:val="nl-NL"/>
        </w:rPr>
        <w:t xml:space="preserve">. Thông tin chung về </w:t>
      </w:r>
      <w:r w:rsidR="00A96A59" w:rsidRPr="00A96A59">
        <w:rPr>
          <w:rFonts w:ascii="Times New Roman" w:hAnsi="Times New Roman"/>
          <w:b/>
          <w:sz w:val="24"/>
          <w:szCs w:val="24"/>
          <w:lang w:val="nl-NL"/>
        </w:rPr>
        <w:t xml:space="preserve">Quỹ Đầu Tư Trái Phiếu 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xml:space="preserve">– </w:t>
      </w:r>
      <w:r w:rsidR="00A96A59">
        <w:rPr>
          <w:rFonts w:ascii="Times New Roman" w:hAnsi="Times New Roman"/>
          <w:b/>
          <w:sz w:val="24"/>
          <w:szCs w:val="24"/>
          <w:lang w:val="nl-NL"/>
        </w:rPr>
        <w:t>FIX</w:t>
      </w:r>
      <w:r w:rsidR="00826BB2" w:rsidRPr="00FA0348">
        <w:rPr>
          <w:rFonts w:ascii="Times New Roman" w:hAnsi="Times New Roman"/>
          <w:b/>
          <w:sz w:val="24"/>
          <w:szCs w:val="24"/>
          <w:lang w:val="nl-NL"/>
        </w:rPr>
        <w:t>)</w:t>
      </w:r>
    </w:p>
    <w:bookmarkEnd w:id="0"/>
    <w:p w14:paraId="0BEC9635" w14:textId="3C26DDD0" w:rsidR="00BE6F63" w:rsidRPr="00676F73"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6F73">
        <w:rPr>
          <w:rFonts w:ascii="Times New Roman" w:hAnsi="Times New Roman"/>
          <w:b/>
          <w:sz w:val="24"/>
          <w:szCs w:val="24"/>
          <w:lang w:val="nl-NL"/>
        </w:rPr>
        <w:t>1.</w:t>
      </w:r>
      <w:r w:rsidR="005858BC" w:rsidRPr="00676F73">
        <w:rPr>
          <w:rFonts w:ascii="Times New Roman" w:hAnsi="Times New Roman"/>
          <w:b/>
          <w:sz w:val="24"/>
          <w:szCs w:val="24"/>
          <w:lang w:val="nl-NL"/>
        </w:rPr>
        <w:t>2.</w:t>
      </w:r>
      <w:r w:rsidRPr="00676F73">
        <w:rPr>
          <w:rFonts w:ascii="Times New Roman" w:hAnsi="Times New Roman"/>
          <w:b/>
          <w:sz w:val="24"/>
          <w:szCs w:val="24"/>
          <w:lang w:val="nl-NL"/>
        </w:rPr>
        <w:t xml:space="preserve"> Mục tiêu của Quỹ:</w:t>
      </w:r>
    </w:p>
    <w:p w14:paraId="0AF61AAD" w14:textId="77777777" w:rsidR="005858BC" w:rsidRPr="00676F73" w:rsidRDefault="005858BC" w:rsidP="0083372E">
      <w:pPr>
        <w:shd w:val="clear" w:color="auto" w:fill="FFFFFF"/>
        <w:tabs>
          <w:tab w:val="left" w:pos="540"/>
        </w:tabs>
        <w:spacing w:before="120" w:after="0" w:line="240" w:lineRule="auto"/>
        <w:jc w:val="both"/>
        <w:rPr>
          <w:rFonts w:ascii="Times New Roman" w:eastAsiaTheme="minorEastAsia" w:hAnsi="Times New Roman"/>
          <w:sz w:val="24"/>
          <w:szCs w:val="24"/>
        </w:rPr>
      </w:pPr>
      <w:proofErr w:type="spellStart"/>
      <w:r w:rsidRPr="00676F73">
        <w:rPr>
          <w:rFonts w:ascii="Times New Roman" w:eastAsiaTheme="minorEastAsia" w:hAnsi="Times New Roman"/>
          <w:sz w:val="24"/>
          <w:szCs w:val="24"/>
        </w:rPr>
        <w:t>Quỹ</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hướng</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tới</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mục</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tiêu</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tăng</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trưởng</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bền</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vững</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trong</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trung</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và</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dài</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hạn</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thông</w:t>
      </w:r>
      <w:proofErr w:type="spellEnd"/>
      <w:r w:rsidRPr="00676F73">
        <w:rPr>
          <w:rFonts w:ascii="Times New Roman" w:eastAsiaTheme="minorEastAsia" w:hAnsi="Times New Roman"/>
          <w:sz w:val="24"/>
          <w:szCs w:val="24"/>
        </w:rPr>
        <w:t xml:space="preserve"> qua </w:t>
      </w:r>
      <w:proofErr w:type="spellStart"/>
      <w:r w:rsidRPr="00676F73">
        <w:rPr>
          <w:rFonts w:ascii="Times New Roman" w:eastAsiaTheme="minorEastAsia" w:hAnsi="Times New Roman"/>
          <w:sz w:val="24"/>
          <w:szCs w:val="24"/>
        </w:rPr>
        <w:t>việc</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đầu</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tư</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vào</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các</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tài</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sản</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thu</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nhập</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cố</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định</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có</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chất</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lượng</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tín</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dụng</w:t>
      </w:r>
      <w:proofErr w:type="spellEnd"/>
      <w:r w:rsidRPr="00676F73">
        <w:rPr>
          <w:rFonts w:ascii="Times New Roman" w:eastAsiaTheme="minorEastAsia" w:hAnsi="Times New Roman"/>
          <w:sz w:val="24"/>
          <w:szCs w:val="24"/>
        </w:rPr>
        <w:t xml:space="preserve"> </w:t>
      </w:r>
      <w:proofErr w:type="spellStart"/>
      <w:r w:rsidRPr="00676F73">
        <w:rPr>
          <w:rFonts w:ascii="Times New Roman" w:eastAsiaTheme="minorEastAsia" w:hAnsi="Times New Roman"/>
          <w:sz w:val="24"/>
          <w:szCs w:val="24"/>
        </w:rPr>
        <w:t>tốt</w:t>
      </w:r>
      <w:proofErr w:type="spellEnd"/>
      <w:r w:rsidRPr="00676F73">
        <w:rPr>
          <w:rFonts w:ascii="Times New Roman" w:eastAsiaTheme="minorEastAsia" w:hAnsi="Times New Roman"/>
          <w:sz w:val="24"/>
          <w:szCs w:val="24"/>
        </w:rPr>
        <w:t>.</w:t>
      </w:r>
    </w:p>
    <w:p w14:paraId="72ED9833" w14:textId="64F1FB78" w:rsidR="00BE6F63" w:rsidRPr="00676F73"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6F73">
        <w:rPr>
          <w:rFonts w:ascii="Times New Roman" w:eastAsiaTheme="minorEastAsia" w:hAnsi="Times New Roman"/>
          <w:b/>
          <w:bCs/>
          <w:sz w:val="24"/>
          <w:szCs w:val="24"/>
        </w:rPr>
        <w:t>1.</w:t>
      </w:r>
      <w:r w:rsidR="00BE6F63" w:rsidRPr="00676F73">
        <w:rPr>
          <w:rFonts w:ascii="Times New Roman" w:hAnsi="Times New Roman"/>
          <w:b/>
          <w:sz w:val="24"/>
          <w:szCs w:val="24"/>
          <w:lang w:val="nl-NL"/>
        </w:rPr>
        <w:t>2. Hiệu quả hoạt động của Quỹ:</w:t>
      </w:r>
    </w:p>
    <w:p w14:paraId="4244729A" w14:textId="1F52F6E5" w:rsidR="0097528B" w:rsidRDefault="0097528B" w:rsidP="0083372E">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sz w:val="24"/>
          <w:szCs w:val="24"/>
          <w:lang w:val="nl-NL"/>
        </w:rPr>
        <w:t>Tính đến cuối kỳ báo cáo, thay đổi giá trị tài sản ròng (NAV) của Quỹ là -1.09% so với giá trị tài sản ròng của quỹ đầu kỳ báo cáo.</w:t>
      </w:r>
    </w:p>
    <w:p w14:paraId="0CB40711" w14:textId="26B9D59B" w:rsidR="00BE6F63" w:rsidRPr="00676F73"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6F73">
        <w:rPr>
          <w:rFonts w:ascii="Times New Roman" w:hAnsi="Times New Roman"/>
          <w:b/>
          <w:sz w:val="24"/>
          <w:szCs w:val="24"/>
          <w:lang w:val="nl-NL"/>
        </w:rPr>
        <w:t>1.</w:t>
      </w:r>
      <w:r w:rsidR="00BE6F63" w:rsidRPr="00676F73">
        <w:rPr>
          <w:rFonts w:ascii="Times New Roman" w:hAnsi="Times New Roman"/>
          <w:b/>
          <w:sz w:val="24"/>
          <w:szCs w:val="24"/>
          <w:lang w:val="nl-NL"/>
        </w:rPr>
        <w:t>3. Chính sách và chiến lược đầu tư của Quỹ:</w:t>
      </w:r>
    </w:p>
    <w:p w14:paraId="5D63C53D" w14:textId="77777777" w:rsidR="005858BC" w:rsidRPr="00676F73"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676F73">
        <w:rPr>
          <w:rFonts w:ascii="Times New Roman" w:hAnsi="Times New Roman"/>
          <w:bCs/>
          <w:sz w:val="24"/>
          <w:szCs w:val="24"/>
          <w:lang w:val="nl-NL"/>
        </w:rPr>
        <w:t>Quỹ định hướng xây dựng một danh mục bao gồm tín phiếu, trái phiếu và các công cụ có thu nhập cố định khác với tỷ trọng đầu tư vào các tài sản này chiếm từ tám mươi phần trăm (80%) giá trị tài sản ròng trở lên.</w:t>
      </w:r>
    </w:p>
    <w:p w14:paraId="4D8B8402" w14:textId="45FEDCA7" w:rsidR="00F977B5" w:rsidRPr="00C43F33"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676F73">
        <w:rPr>
          <w:rFonts w:ascii="Times New Roman" w:hAnsi="Times New Roman"/>
          <w:b/>
          <w:sz w:val="24"/>
          <w:szCs w:val="24"/>
          <w:lang w:val="nl-NL"/>
        </w:rPr>
        <w:t>Tài sản được phép đầu tư:</w:t>
      </w:r>
    </w:p>
    <w:p w14:paraId="135128E5" w14:textId="77777777"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043B">
        <w:rPr>
          <w:rFonts w:ascii="Times New Roman" w:hAnsi="Times New Roman"/>
          <w:bCs/>
          <w:sz w:val="24"/>
          <w:szCs w:val="24"/>
        </w:rPr>
        <w:t>Tiền</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gửi</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có</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kỳ</w:t>
      </w:r>
      <w:proofErr w:type="spellEnd"/>
      <w:r w:rsidRPr="00B6043B">
        <w:rPr>
          <w:rFonts w:ascii="Times New Roman" w:hAnsi="Times New Roman"/>
          <w:bCs/>
          <w:sz w:val="24"/>
          <w:szCs w:val="24"/>
        </w:rPr>
        <w:t xml:space="preserve"> hạn tại các ngân hàng th</w:t>
      </w:r>
      <w:r w:rsidRPr="00B6043B">
        <w:rPr>
          <w:rFonts w:ascii="Times New Roman" w:hAnsi="Times New Roman" w:hint="eastAsia"/>
          <w:bCs/>
          <w:sz w:val="24"/>
          <w:szCs w:val="24"/>
        </w:rPr>
        <w:t>ươ</w:t>
      </w:r>
      <w:r w:rsidRPr="00B6043B">
        <w:rPr>
          <w:rFonts w:ascii="Times New Roman" w:hAnsi="Times New Roman"/>
          <w:bCs/>
          <w:sz w:val="24"/>
          <w:szCs w:val="24"/>
        </w:rPr>
        <w:t xml:space="preserve">ng mại theo quy định của pháp luật về ngân </w:t>
      </w:r>
      <w:proofErr w:type="gramStart"/>
      <w:r w:rsidRPr="00B6043B">
        <w:rPr>
          <w:rFonts w:ascii="Times New Roman" w:hAnsi="Times New Roman"/>
          <w:bCs/>
          <w:sz w:val="24"/>
          <w:szCs w:val="24"/>
        </w:rPr>
        <w:t>hàng;</w:t>
      </w:r>
      <w:proofErr w:type="gramEnd"/>
    </w:p>
    <w:p w14:paraId="2B9A8D1E" w14:textId="4AEC832F"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043B">
        <w:rPr>
          <w:rFonts w:ascii="Times New Roman" w:hAnsi="Times New Roman"/>
          <w:bCs/>
          <w:sz w:val="24"/>
          <w:szCs w:val="24"/>
        </w:rPr>
        <w:t>Công</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cụ</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thị</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tr</w:t>
      </w:r>
      <w:r w:rsidRPr="00B6043B">
        <w:rPr>
          <w:rFonts w:ascii="Times New Roman" w:hAnsi="Times New Roman" w:hint="eastAsia"/>
          <w:bCs/>
          <w:sz w:val="24"/>
          <w:szCs w:val="24"/>
        </w:rPr>
        <w:t>ư</w:t>
      </w:r>
      <w:r w:rsidRPr="00B6043B">
        <w:rPr>
          <w:rFonts w:ascii="Times New Roman" w:hAnsi="Times New Roman"/>
          <w:bCs/>
          <w:sz w:val="24"/>
          <w:szCs w:val="24"/>
        </w:rPr>
        <w:t>ờng</w:t>
      </w:r>
      <w:proofErr w:type="spellEnd"/>
      <w:r w:rsidRPr="00B6043B">
        <w:rPr>
          <w:rFonts w:ascii="Times New Roman" w:hAnsi="Times New Roman"/>
          <w:bCs/>
          <w:sz w:val="24"/>
          <w:szCs w:val="24"/>
        </w:rPr>
        <w:t xml:space="preserve"> tiền tệ bao gồm giấy tờ có giá, công cụ chuyển nh</w:t>
      </w:r>
      <w:r w:rsidRPr="00B6043B">
        <w:rPr>
          <w:rFonts w:ascii="Times New Roman" w:hAnsi="Times New Roman" w:hint="eastAsia"/>
          <w:bCs/>
          <w:sz w:val="24"/>
          <w:szCs w:val="24"/>
        </w:rPr>
        <w:t>ư</w:t>
      </w:r>
      <w:r w:rsidRPr="00B6043B">
        <w:rPr>
          <w:rFonts w:ascii="Times New Roman" w:hAnsi="Times New Roman"/>
          <w:bCs/>
          <w:sz w:val="24"/>
          <w:szCs w:val="24"/>
        </w:rPr>
        <w:t xml:space="preserve">ợng theo quy định của pháp luật liên </w:t>
      </w:r>
      <w:proofErr w:type="gramStart"/>
      <w:r w:rsidRPr="00B6043B">
        <w:rPr>
          <w:rFonts w:ascii="Times New Roman" w:hAnsi="Times New Roman"/>
          <w:bCs/>
          <w:sz w:val="24"/>
          <w:szCs w:val="24"/>
        </w:rPr>
        <w:t>quan;</w:t>
      </w:r>
      <w:proofErr w:type="gramEnd"/>
    </w:p>
    <w:p w14:paraId="63248D04" w14:textId="6E7184E7"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043B">
        <w:rPr>
          <w:rFonts w:ascii="Times New Roman" w:hAnsi="Times New Roman"/>
          <w:bCs/>
          <w:sz w:val="24"/>
          <w:szCs w:val="24"/>
        </w:rPr>
        <w:t>Công</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cụ</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nợ</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của</w:t>
      </w:r>
      <w:proofErr w:type="spellEnd"/>
      <w:r w:rsidRPr="00B6043B">
        <w:rPr>
          <w:rFonts w:ascii="Times New Roman" w:hAnsi="Times New Roman"/>
          <w:bCs/>
          <w:sz w:val="24"/>
          <w:szCs w:val="24"/>
        </w:rPr>
        <w:t xml:space="preserve"> Chính phủ, trái phiếu đ</w:t>
      </w:r>
      <w:r w:rsidRPr="00B6043B">
        <w:rPr>
          <w:rFonts w:ascii="Times New Roman" w:hAnsi="Times New Roman" w:hint="eastAsia"/>
          <w:bCs/>
          <w:sz w:val="24"/>
          <w:szCs w:val="24"/>
        </w:rPr>
        <w:t>ư</w:t>
      </w:r>
      <w:r w:rsidRPr="00B6043B">
        <w:rPr>
          <w:rFonts w:ascii="Times New Roman" w:hAnsi="Times New Roman"/>
          <w:bCs/>
          <w:sz w:val="24"/>
          <w:szCs w:val="24"/>
        </w:rPr>
        <w:t xml:space="preserve">ợc Chính phủ bảo lãnh, trái phiếu chính quyền địa </w:t>
      </w:r>
      <w:proofErr w:type="gramStart"/>
      <w:r w:rsidRPr="00B6043B">
        <w:rPr>
          <w:rFonts w:ascii="Times New Roman" w:hAnsi="Times New Roman"/>
          <w:bCs/>
          <w:sz w:val="24"/>
          <w:szCs w:val="24"/>
        </w:rPr>
        <w:t>ph</w:t>
      </w:r>
      <w:r w:rsidRPr="00B6043B">
        <w:rPr>
          <w:rFonts w:ascii="Times New Roman" w:hAnsi="Times New Roman" w:hint="eastAsia"/>
          <w:bCs/>
          <w:sz w:val="24"/>
          <w:szCs w:val="24"/>
        </w:rPr>
        <w:t>ươ</w:t>
      </w:r>
      <w:r w:rsidRPr="00B6043B">
        <w:rPr>
          <w:rFonts w:ascii="Times New Roman" w:hAnsi="Times New Roman"/>
          <w:bCs/>
          <w:sz w:val="24"/>
          <w:szCs w:val="24"/>
        </w:rPr>
        <w:t>ng;</w:t>
      </w:r>
      <w:proofErr w:type="gramEnd"/>
      <w:r w:rsidRPr="00B6043B">
        <w:rPr>
          <w:rFonts w:ascii="Times New Roman" w:hAnsi="Times New Roman"/>
          <w:bCs/>
          <w:sz w:val="24"/>
          <w:szCs w:val="24"/>
        </w:rPr>
        <w:t xml:space="preserve"> </w:t>
      </w:r>
    </w:p>
    <w:p w14:paraId="0C42B97C" w14:textId="1404822A"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043B">
        <w:rPr>
          <w:rFonts w:ascii="Times New Roman" w:hAnsi="Times New Roman"/>
          <w:bCs/>
          <w:sz w:val="24"/>
          <w:szCs w:val="24"/>
        </w:rPr>
        <w:t>Cổ</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phiếu</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niêm</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yết</w:t>
      </w:r>
      <w:proofErr w:type="spellEnd"/>
      <w:r w:rsidRPr="00B6043B">
        <w:rPr>
          <w:rFonts w:ascii="Times New Roman" w:hAnsi="Times New Roman"/>
          <w:bCs/>
          <w:sz w:val="24"/>
          <w:szCs w:val="24"/>
        </w:rPr>
        <w:t xml:space="preserve">, cổ phiếu đăng ký giao dịch, trái phiếu niêm yết trên Sở Giao dịch Chứng khoán, chứng chỉ quỹ đại </w:t>
      </w:r>
      <w:proofErr w:type="gramStart"/>
      <w:r w:rsidRPr="00B6043B">
        <w:rPr>
          <w:rFonts w:ascii="Times New Roman" w:hAnsi="Times New Roman"/>
          <w:bCs/>
          <w:sz w:val="24"/>
          <w:szCs w:val="24"/>
        </w:rPr>
        <w:t>chúng;</w:t>
      </w:r>
      <w:proofErr w:type="gramEnd"/>
    </w:p>
    <w:p w14:paraId="76D27427" w14:textId="0C023CA2"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043B">
        <w:rPr>
          <w:rFonts w:ascii="Times New Roman" w:hAnsi="Times New Roman"/>
          <w:bCs/>
          <w:sz w:val="24"/>
          <w:szCs w:val="24"/>
        </w:rPr>
        <w:t>Cổ</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phiếu</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chào</w:t>
      </w:r>
      <w:proofErr w:type="spellEnd"/>
      <w:r w:rsidRPr="00B6043B">
        <w:rPr>
          <w:rFonts w:ascii="Times New Roman" w:hAnsi="Times New Roman"/>
          <w:bCs/>
          <w:sz w:val="24"/>
          <w:szCs w:val="24"/>
        </w:rPr>
        <w:t xml:space="preserve"> </w:t>
      </w:r>
      <w:proofErr w:type="spellStart"/>
      <w:r w:rsidRPr="00B6043B">
        <w:rPr>
          <w:rFonts w:ascii="Times New Roman" w:hAnsi="Times New Roman"/>
          <w:bCs/>
          <w:sz w:val="24"/>
          <w:szCs w:val="24"/>
        </w:rPr>
        <w:t>bán</w:t>
      </w:r>
      <w:proofErr w:type="spellEnd"/>
      <w:r w:rsidRPr="00B6043B">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B6043B">
        <w:rPr>
          <w:rFonts w:ascii="Times New Roman" w:hAnsi="Times New Roman" w:hint="eastAsia"/>
          <w:bCs/>
          <w:sz w:val="24"/>
          <w:szCs w:val="24"/>
        </w:rPr>
        <w:t>ư</w:t>
      </w:r>
      <w:r w:rsidRPr="00B6043B">
        <w:rPr>
          <w:rFonts w:ascii="Times New Roman" w:hAnsi="Times New Roman"/>
          <w:bCs/>
          <w:sz w:val="24"/>
          <w:szCs w:val="24"/>
        </w:rPr>
        <w:t>ời hai (12) tháng và mỗi lần cam kết mua lại tối thiểu ba m</w:t>
      </w:r>
      <w:r w:rsidRPr="00B6043B">
        <w:rPr>
          <w:rFonts w:ascii="Times New Roman" w:hAnsi="Times New Roman" w:hint="eastAsia"/>
          <w:bCs/>
          <w:sz w:val="24"/>
          <w:szCs w:val="24"/>
        </w:rPr>
        <w:t>ươ</w:t>
      </w:r>
      <w:r w:rsidRPr="00B6043B">
        <w:rPr>
          <w:rFonts w:ascii="Times New Roman" w:hAnsi="Times New Roman"/>
          <w:bCs/>
          <w:sz w:val="24"/>
          <w:szCs w:val="24"/>
        </w:rPr>
        <w:t>i phần trăm (30%) giá trị đợt phát hành. Việc đầu t</w:t>
      </w:r>
      <w:r w:rsidRPr="00B6043B">
        <w:rPr>
          <w:rFonts w:ascii="Times New Roman" w:hAnsi="Times New Roman" w:hint="eastAsia"/>
          <w:bCs/>
          <w:sz w:val="24"/>
          <w:szCs w:val="24"/>
        </w:rPr>
        <w:t>ư</w:t>
      </w:r>
      <w:r w:rsidRPr="00B6043B">
        <w:rPr>
          <w:rFonts w:ascii="Times New Roman" w:hAnsi="Times New Roman"/>
          <w:bCs/>
          <w:sz w:val="24"/>
          <w:szCs w:val="24"/>
        </w:rPr>
        <w:t xml:space="preserve"> vào các tài sản tại điểm này phải đáp ứng các điều kiện sau:</w:t>
      </w:r>
    </w:p>
    <w:p w14:paraId="02BEFF85" w14:textId="77777777" w:rsidR="00B6043B" w:rsidRPr="00B6043B"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B6043B">
        <w:rPr>
          <w:rFonts w:ascii="Times New Roman" w:hAnsi="Times New Roman"/>
          <w:bCs/>
          <w:sz w:val="24"/>
          <w:szCs w:val="24"/>
        </w:rPr>
        <w:t>Có sự chấp thuận bằng văn bản của Ban Đại diện Quỹ về loại, mã chứng khoán, số l</w:t>
      </w:r>
      <w:r w:rsidRPr="00B6043B">
        <w:rPr>
          <w:rFonts w:ascii="Times New Roman" w:hAnsi="Times New Roman" w:hint="eastAsia"/>
          <w:bCs/>
          <w:sz w:val="24"/>
          <w:szCs w:val="24"/>
        </w:rPr>
        <w:t>ư</w:t>
      </w:r>
      <w:r w:rsidRPr="00B6043B">
        <w:rPr>
          <w:rFonts w:ascii="Times New Roman" w:hAnsi="Times New Roman"/>
          <w:bCs/>
          <w:sz w:val="24"/>
          <w:szCs w:val="24"/>
        </w:rPr>
        <w:t xml:space="preserve">ợng, giá trị giao dịch, thời điểm thực hiện; có quy định tại Bản cáo </w:t>
      </w:r>
      <w:proofErr w:type="gramStart"/>
      <w:r w:rsidRPr="00B6043B">
        <w:rPr>
          <w:rFonts w:ascii="Times New Roman" w:hAnsi="Times New Roman"/>
          <w:bCs/>
          <w:sz w:val="24"/>
          <w:szCs w:val="24"/>
        </w:rPr>
        <w:t>bạch;</w:t>
      </w:r>
      <w:proofErr w:type="gramEnd"/>
    </w:p>
    <w:p w14:paraId="745D54D3" w14:textId="77777777" w:rsidR="00B6043B" w:rsidRPr="00B6043B"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B6043B">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B6043B">
        <w:rPr>
          <w:rFonts w:ascii="Times New Roman" w:hAnsi="Times New Roman"/>
          <w:bCs/>
          <w:sz w:val="24"/>
          <w:szCs w:val="24"/>
        </w:rPr>
        <w:t>Chứng khoán phái sinh niêm yết, giao dịch tại Sở Giao dịch Chứng khoán và chỉ nhằm mục tiêu phòng ngừa rủi ro cho chứng khoán c</w:t>
      </w:r>
      <w:r w:rsidRPr="00B6043B">
        <w:rPr>
          <w:rFonts w:ascii="Times New Roman" w:hAnsi="Times New Roman" w:hint="eastAsia"/>
          <w:bCs/>
          <w:sz w:val="24"/>
          <w:szCs w:val="24"/>
        </w:rPr>
        <w:t>ơ</w:t>
      </w:r>
      <w:r w:rsidRPr="00B6043B">
        <w:rPr>
          <w:rFonts w:ascii="Times New Roman" w:hAnsi="Times New Roman"/>
          <w:bCs/>
          <w:sz w:val="24"/>
          <w:szCs w:val="24"/>
        </w:rPr>
        <w:t xml:space="preserve"> sở mà Quỹ đang nắm </w:t>
      </w:r>
      <w:proofErr w:type="gramStart"/>
      <w:r w:rsidRPr="00B6043B">
        <w:rPr>
          <w:rFonts w:ascii="Times New Roman" w:hAnsi="Times New Roman"/>
          <w:bCs/>
          <w:sz w:val="24"/>
          <w:szCs w:val="24"/>
        </w:rPr>
        <w:t>giữ;</w:t>
      </w:r>
      <w:proofErr w:type="gramEnd"/>
    </w:p>
    <w:p w14:paraId="082B0AF2" w14:textId="77777777" w:rsidR="00B6043B" w:rsidRPr="00B6043B"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B6043B">
        <w:rPr>
          <w:rFonts w:ascii="Times New Roman" w:hAnsi="Times New Roman"/>
          <w:bCs/>
          <w:sz w:val="24"/>
          <w:szCs w:val="24"/>
        </w:rPr>
        <w:t>Quyền phát sinh gắn liền với chứng khoán mà Quỹ đang nắm giữ.</w:t>
      </w:r>
    </w:p>
    <w:p w14:paraId="09A444DE" w14:textId="4E0766CC" w:rsidR="007A2D4E" w:rsidRPr="00EA3973" w:rsidRDefault="005858BC" w:rsidP="00B6043B">
      <w:pPr>
        <w:tabs>
          <w:tab w:val="left" w:pos="742"/>
          <w:tab w:val="left" w:pos="1176"/>
        </w:tabs>
        <w:spacing w:before="120" w:line="240" w:lineRule="exact"/>
        <w:rPr>
          <w:rFonts w:ascii="Times New Roman" w:hAnsi="Times New Roman"/>
          <w:b/>
          <w:sz w:val="24"/>
          <w:szCs w:val="24"/>
          <w:lang w:val="nl-NL"/>
        </w:rPr>
      </w:pPr>
      <w:r>
        <w:rPr>
          <w:rFonts w:ascii="Times New Roman" w:hAnsi="Times New Roman"/>
          <w:b/>
          <w:sz w:val="24"/>
          <w:szCs w:val="24"/>
          <w:lang w:val="nl-NL"/>
        </w:rPr>
        <w:t>1.</w:t>
      </w:r>
      <w:r w:rsidR="007A2D4E" w:rsidRPr="00EA3973">
        <w:rPr>
          <w:rFonts w:ascii="Times New Roman" w:hAnsi="Times New Roman"/>
          <w:b/>
          <w:sz w:val="24"/>
          <w:szCs w:val="24"/>
          <w:lang w:val="nl-NL"/>
        </w:rPr>
        <w:t>4. Phân loại Quỹ:</w:t>
      </w:r>
    </w:p>
    <w:p w14:paraId="66DF9CB4" w14:textId="77777777" w:rsidR="00B6043B"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B6043B">
        <w:rPr>
          <w:rFonts w:ascii="Times New Roman" w:hAnsi="Times New Roman"/>
          <w:sz w:val="24"/>
          <w:szCs w:val="24"/>
          <w:lang w:val="nl-NL"/>
        </w:rPr>
        <w:t>Quỹ là quỹ đại chúng dạng mở.</w:t>
      </w:r>
    </w:p>
    <w:p w14:paraId="6001AD78" w14:textId="4124035F" w:rsidR="007A2D4E" w:rsidRPr="00EA3973"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EA3973">
        <w:rPr>
          <w:rFonts w:ascii="Times New Roman" w:hAnsi="Times New Roman"/>
          <w:b/>
          <w:sz w:val="24"/>
          <w:szCs w:val="24"/>
          <w:lang w:val="nl-NL"/>
        </w:rPr>
        <w:t>5. Thời gian khuyến cáo đầu tư của Quỹ:</w:t>
      </w:r>
    </w:p>
    <w:p w14:paraId="31CE21CF" w14:textId="77777777" w:rsidR="00B6043B" w:rsidRPr="00676F73"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sz w:val="24"/>
          <w:szCs w:val="24"/>
          <w:lang w:val="nl-NL"/>
        </w:rPr>
        <w:lastRenderedPageBreak/>
        <w:t xml:space="preserve">Quỹ không bị giới hạn về thời hạn hoạt động. </w:t>
      </w:r>
    </w:p>
    <w:p w14:paraId="47626640" w14:textId="70065AA2" w:rsidR="00BE6F63" w:rsidRPr="00676F73"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6F73">
        <w:rPr>
          <w:rFonts w:ascii="Times New Roman" w:hAnsi="Times New Roman"/>
          <w:b/>
          <w:sz w:val="24"/>
          <w:szCs w:val="24"/>
          <w:lang w:val="nl-NL"/>
        </w:rPr>
        <w:t>1.</w:t>
      </w:r>
      <w:r w:rsidR="00BE6F63" w:rsidRPr="00676F73">
        <w:rPr>
          <w:rFonts w:ascii="Times New Roman" w:hAnsi="Times New Roman"/>
          <w:b/>
          <w:sz w:val="24"/>
          <w:szCs w:val="24"/>
          <w:lang w:val="nl-NL"/>
        </w:rPr>
        <w:t>6. Mức độ rủi ro ngắn hạn (thấp, trung bình, cao):</w:t>
      </w:r>
    </w:p>
    <w:p w14:paraId="1CE191BC" w14:textId="77777777" w:rsidR="00922567" w:rsidRPr="00676F73"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sz w:val="24"/>
          <w:szCs w:val="24"/>
          <w:lang w:val="nl-NL"/>
        </w:rPr>
        <w:t>Quỹ có mức độ rủi ro ngắn hạn thấp</w:t>
      </w:r>
    </w:p>
    <w:p w14:paraId="12C124B4" w14:textId="4B89C025" w:rsidR="00BE6F63" w:rsidRPr="00676F73"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6F73">
        <w:rPr>
          <w:rFonts w:ascii="Times New Roman" w:hAnsi="Times New Roman"/>
          <w:b/>
          <w:sz w:val="24"/>
          <w:szCs w:val="24"/>
          <w:lang w:val="nl-NL"/>
        </w:rPr>
        <w:t>1.</w:t>
      </w:r>
      <w:r w:rsidR="00BE6F63" w:rsidRPr="00676F73">
        <w:rPr>
          <w:rFonts w:ascii="Times New Roman" w:hAnsi="Times New Roman"/>
          <w:b/>
          <w:sz w:val="24"/>
          <w:szCs w:val="24"/>
          <w:lang w:val="nl-NL"/>
        </w:rPr>
        <w:t>7. Thời điểm bắt đầu hoạt động của Quỹ:</w:t>
      </w:r>
    </w:p>
    <w:p w14:paraId="16A9C2F8" w14:textId="4F414FB3" w:rsidR="00494F7E" w:rsidRPr="00676F73"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sz w:val="24"/>
          <w:szCs w:val="24"/>
          <w:lang w:val="nl-NL"/>
        </w:rPr>
        <w:t xml:space="preserve">Quỹ bắt đầu hoạt động từ ngày </w:t>
      </w:r>
      <w:r w:rsidR="000C4474" w:rsidRPr="00676F73">
        <w:rPr>
          <w:rFonts w:ascii="Times New Roman" w:hAnsi="Times New Roman"/>
          <w:sz w:val="24"/>
          <w:szCs w:val="24"/>
          <w:lang w:val="nl-NL"/>
        </w:rPr>
        <w:t>0</w:t>
      </w:r>
      <w:r w:rsidR="007808C8" w:rsidRPr="00676F73">
        <w:rPr>
          <w:rFonts w:ascii="Times New Roman" w:hAnsi="Times New Roman"/>
          <w:sz w:val="24"/>
          <w:szCs w:val="24"/>
          <w:lang w:val="nl-NL"/>
        </w:rPr>
        <w:t>4</w:t>
      </w:r>
      <w:r w:rsidRPr="00676F73">
        <w:rPr>
          <w:rFonts w:ascii="Times New Roman" w:hAnsi="Times New Roman"/>
          <w:sz w:val="24"/>
          <w:szCs w:val="24"/>
          <w:lang w:val="nl-NL"/>
        </w:rPr>
        <w:t xml:space="preserve"> tháng </w:t>
      </w:r>
      <w:r w:rsidR="000C4474" w:rsidRPr="00676F73">
        <w:rPr>
          <w:rFonts w:ascii="Times New Roman" w:hAnsi="Times New Roman"/>
          <w:sz w:val="24"/>
          <w:szCs w:val="24"/>
          <w:lang w:val="nl-NL"/>
        </w:rPr>
        <w:t>0</w:t>
      </w:r>
      <w:r w:rsidR="007808C8" w:rsidRPr="00676F73">
        <w:rPr>
          <w:rFonts w:ascii="Times New Roman" w:hAnsi="Times New Roman"/>
          <w:sz w:val="24"/>
          <w:szCs w:val="24"/>
          <w:lang w:val="nl-NL"/>
        </w:rPr>
        <w:t>2</w:t>
      </w:r>
      <w:r w:rsidRPr="00676F73">
        <w:rPr>
          <w:rFonts w:ascii="Times New Roman" w:hAnsi="Times New Roman"/>
          <w:sz w:val="24"/>
          <w:szCs w:val="24"/>
          <w:lang w:val="nl-NL"/>
        </w:rPr>
        <w:t xml:space="preserve"> năm 20</w:t>
      </w:r>
      <w:r w:rsidR="007808C8" w:rsidRPr="00676F73">
        <w:rPr>
          <w:rFonts w:ascii="Times New Roman" w:hAnsi="Times New Roman"/>
          <w:sz w:val="24"/>
          <w:szCs w:val="24"/>
          <w:lang w:val="nl-NL"/>
        </w:rPr>
        <w:t>21</w:t>
      </w:r>
    </w:p>
    <w:p w14:paraId="09A952B4" w14:textId="6F751843" w:rsidR="00BE6F63" w:rsidRPr="00676F73"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b/>
          <w:sz w:val="24"/>
          <w:szCs w:val="24"/>
          <w:lang w:val="nl-NL"/>
        </w:rPr>
        <w:t>1.</w:t>
      </w:r>
      <w:r w:rsidR="00BE6F63" w:rsidRPr="00676F73">
        <w:rPr>
          <w:rFonts w:ascii="Times New Roman" w:hAnsi="Times New Roman"/>
          <w:b/>
          <w:sz w:val="24"/>
          <w:szCs w:val="24"/>
          <w:lang w:val="nl-NL"/>
        </w:rPr>
        <w:t>8. Quy mô Quỹ tại thời điểm báo cáo</w:t>
      </w:r>
    </w:p>
    <w:p w14:paraId="5CAB333D" w14:textId="38AAF6FF" w:rsidR="00807726" w:rsidRPr="00676F73" w:rsidRDefault="00807726" w:rsidP="0083372E">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sz w:val="24"/>
          <w:szCs w:val="24"/>
          <w:lang w:val="nl-NL"/>
        </w:rPr>
        <w:t xml:space="preserve">Tại ngày 31 tháng </w:t>
      </w:r>
      <w:r w:rsidR="00591B50" w:rsidRPr="00676F73">
        <w:rPr>
          <w:rFonts w:ascii="Times New Roman" w:hAnsi="Times New Roman"/>
          <w:sz w:val="24"/>
          <w:szCs w:val="24"/>
          <w:lang w:val="nl-NL"/>
        </w:rPr>
        <w:t>03</w:t>
      </w:r>
      <w:r w:rsidRPr="00676F73">
        <w:rPr>
          <w:rFonts w:ascii="Times New Roman" w:hAnsi="Times New Roman"/>
          <w:sz w:val="24"/>
          <w:szCs w:val="24"/>
          <w:lang w:val="nl-NL"/>
        </w:rPr>
        <w:t xml:space="preserve"> năm 202</w:t>
      </w:r>
      <w:r w:rsidR="00591B50" w:rsidRPr="00676F73">
        <w:rPr>
          <w:rFonts w:ascii="Times New Roman" w:hAnsi="Times New Roman"/>
          <w:sz w:val="24"/>
          <w:szCs w:val="24"/>
          <w:lang w:val="nl-NL"/>
        </w:rPr>
        <w:t>2</w:t>
      </w:r>
      <w:r w:rsidRPr="00676F73">
        <w:rPr>
          <w:rFonts w:ascii="Times New Roman" w:hAnsi="Times New Roman"/>
          <w:sz w:val="24"/>
          <w:szCs w:val="24"/>
          <w:lang w:val="nl-NL"/>
        </w:rPr>
        <w:t xml:space="preserve">, số lượng chứng chỉ quỹ (“CCQ”) đang lưu hành của Quỹ là </w:t>
      </w:r>
      <w:r w:rsidR="0097528B" w:rsidRPr="00676F73">
        <w:rPr>
          <w:rFonts w:ascii="Times New Roman" w:hAnsi="Times New Roman"/>
          <w:sz w:val="24"/>
          <w:szCs w:val="24"/>
          <w:lang w:val="nl-NL"/>
        </w:rPr>
        <w:t xml:space="preserve">6,200,277.95  </w:t>
      </w:r>
      <w:r w:rsidRPr="00676F73">
        <w:rPr>
          <w:rFonts w:ascii="Times New Roman" w:hAnsi="Times New Roman"/>
          <w:sz w:val="24"/>
          <w:szCs w:val="24"/>
          <w:lang w:val="nl-NL"/>
        </w:rPr>
        <w:t xml:space="preserve">CCQ, tương đương với quy mô vốn của Quỹ theo mệnh giá là </w:t>
      </w:r>
      <w:r w:rsidR="0097528B" w:rsidRPr="00676F73">
        <w:rPr>
          <w:rFonts w:ascii="Times New Roman" w:hAnsi="Times New Roman"/>
          <w:sz w:val="24"/>
          <w:szCs w:val="24"/>
          <w:lang w:val="nl-NL"/>
        </w:rPr>
        <w:t xml:space="preserve">62,002,779,500 </w:t>
      </w:r>
      <w:r w:rsidRPr="00676F73">
        <w:rPr>
          <w:rFonts w:ascii="Times New Roman" w:hAnsi="Times New Roman"/>
          <w:sz w:val="24"/>
          <w:szCs w:val="24"/>
          <w:lang w:val="nl-NL"/>
        </w:rPr>
        <w:t>Đồng Việt Nam (“VND”).</w:t>
      </w:r>
    </w:p>
    <w:p w14:paraId="217E359E" w14:textId="3AC96EC4" w:rsidR="00BE6F63" w:rsidRPr="00676F73"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6F73">
        <w:rPr>
          <w:rFonts w:ascii="Times New Roman" w:hAnsi="Times New Roman"/>
          <w:b/>
          <w:sz w:val="24"/>
          <w:szCs w:val="24"/>
          <w:lang w:val="nl-NL"/>
        </w:rPr>
        <w:t>1.</w:t>
      </w:r>
      <w:r w:rsidR="00BE6F63" w:rsidRPr="00676F73">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sz w:val="24"/>
          <w:szCs w:val="24"/>
          <w:lang w:val="nl-NL"/>
        </w:rPr>
        <w:t>Quỹ không áp dụng chỉ số tham chiếu</w:t>
      </w:r>
    </w:p>
    <w:p w14:paraId="6239DBE8" w14:textId="7496AF65" w:rsidR="00BE6F63" w:rsidRPr="00676F73"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676F73">
        <w:rPr>
          <w:rFonts w:ascii="Times New Roman" w:hAnsi="Times New Roman"/>
          <w:b/>
          <w:sz w:val="24"/>
          <w:szCs w:val="24"/>
          <w:lang w:val="nl-NL"/>
        </w:rPr>
        <w:t>1.</w:t>
      </w:r>
      <w:r w:rsidR="00BE6F63" w:rsidRPr="00676F73">
        <w:rPr>
          <w:rFonts w:ascii="Times New Roman" w:hAnsi="Times New Roman"/>
          <w:b/>
          <w:sz w:val="24"/>
          <w:szCs w:val="24"/>
          <w:lang w:val="nl-NL"/>
        </w:rPr>
        <w:t>10. Chính sách phân phối lợi nhuận của Quỹ:</w:t>
      </w:r>
    </w:p>
    <w:p w14:paraId="5BC10390" w14:textId="77777777" w:rsidR="00807726" w:rsidRPr="00807726"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676F73">
        <w:rPr>
          <w:rFonts w:ascii="Times New Roman" w:hAnsi="Times New Roman"/>
          <w:sz w:val="24"/>
          <w:szCs w:val="24"/>
          <w:lang w:val="nl-NL"/>
        </w:rPr>
        <w:t>Như đã được đề cập trong Bản cáo bạch, Quỹ đầu tư chủ</w:t>
      </w:r>
      <w:r w:rsidRPr="00807726">
        <w:rPr>
          <w:rFonts w:ascii="Times New Roman" w:hAnsi="Times New Roman"/>
          <w:sz w:val="24"/>
          <w:szCs w:val="24"/>
          <w:lang w:val="nl-NL"/>
        </w:rPr>
        <w:t xml:space="preserve">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16B28E25" w14:textId="3AFFFB9C" w:rsidR="00807726" w:rsidRPr="00807726"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807726">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5B03EB52" w14:textId="3F9812AE" w:rsidR="00807726" w:rsidRPr="00807726"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807726">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40678660" w14:textId="0A9A169A" w:rsidR="00807726" w:rsidRPr="00807726"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807726">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776AA8D0" w14:textId="2BEC616C" w:rsidR="00807726" w:rsidRPr="00807726"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807726">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626ECBBD" w14:textId="38561312" w:rsidR="00807726" w:rsidRPr="00807726"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807726">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050F57A" w14:textId="59267BEB" w:rsidR="00807726" w:rsidRPr="00807726"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807726">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CE5FA2C" w14:textId="77777777" w:rsidR="00807726" w:rsidRPr="00807726"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807726">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4F1CC858" w:rsidR="00BE6F63" w:rsidRPr="00A90AB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00BE6F63" w:rsidRPr="00A90AB7">
        <w:rPr>
          <w:rFonts w:ascii="Times New Roman" w:hAnsi="Times New Roman"/>
          <w:b/>
          <w:sz w:val="24"/>
          <w:szCs w:val="24"/>
          <w:lang w:val="nl-NL"/>
        </w:rPr>
        <w:t>uỹ:</w:t>
      </w:r>
    </w:p>
    <w:p w14:paraId="3E8F1A1E" w14:textId="19D06331" w:rsidR="005C0B11"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B6043B">
        <w:rPr>
          <w:rFonts w:ascii="Times New Roman" w:hAnsi="Times New Roman"/>
          <w:sz w:val="24"/>
          <w:szCs w:val="24"/>
          <w:lang w:val="nl-NL"/>
        </w:rPr>
        <w:t>Quỹ chưa tiến hành phân phối lợi nhuận cho nhà đầu tư.</w:t>
      </w:r>
    </w:p>
    <w:p w14:paraId="6A7A203F" w14:textId="77777777" w:rsidR="00B6043B" w:rsidRDefault="00B6043B"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08CDB7" w14:textId="69939D33" w:rsidR="00BE6F63" w:rsidRPr="00A90AB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040F1946" w:rsidR="00BE6F63" w:rsidRPr="00A90AB7"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676F73">
        <w:rPr>
          <w:rFonts w:ascii="Times New Roman" w:hAnsi="Times New Roman"/>
          <w:b/>
          <w:sz w:val="24"/>
          <w:szCs w:val="24"/>
          <w:lang w:val="nl-NL"/>
        </w:rPr>
        <w:t>2.</w:t>
      </w:r>
      <w:r w:rsidR="00315A8E" w:rsidRPr="00676F73">
        <w:rPr>
          <w:rFonts w:ascii="Times New Roman" w:hAnsi="Times New Roman"/>
          <w:b/>
          <w:sz w:val="24"/>
          <w:szCs w:val="24"/>
          <w:lang w:val="nl-NL"/>
        </w:rPr>
        <w:t xml:space="preserve">1. </w:t>
      </w:r>
      <w:r w:rsidR="00BE6F63" w:rsidRPr="00676F73">
        <w:rPr>
          <w:rFonts w:ascii="Times New Roman" w:hAnsi="Times New Roman"/>
          <w:b/>
          <w:sz w:val="24"/>
          <w:szCs w:val="24"/>
          <w:lang w:val="nl-NL"/>
        </w:rPr>
        <w:t>Cơ cấu tài sản quỹ</w:t>
      </w:r>
      <w:r w:rsidR="00E75C22" w:rsidRPr="00676F73">
        <w:rPr>
          <w:rFonts w:ascii="Times New Roman" w:hAnsi="Times New Roman"/>
          <w:b/>
          <w:sz w:val="24"/>
          <w:szCs w:val="24"/>
          <w:lang w:val="nl-NL"/>
        </w:rPr>
        <w:t>:</w:t>
      </w:r>
    </w:p>
    <w:tbl>
      <w:tblPr>
        <w:tblW w:w="9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66"/>
        <w:gridCol w:w="1891"/>
        <w:gridCol w:w="1821"/>
      </w:tblGrid>
      <w:tr w:rsidR="00591B50" w:rsidRPr="004647B9" w14:paraId="3587C0D2" w14:textId="77777777" w:rsidTr="00591B50">
        <w:tc>
          <w:tcPr>
            <w:tcW w:w="3021" w:type="pct"/>
            <w:shd w:val="clear" w:color="auto" w:fill="auto"/>
            <w:vAlign w:val="center"/>
          </w:tcPr>
          <w:p w14:paraId="713AC91F" w14:textId="77777777" w:rsidR="00591B50" w:rsidRPr="004647B9" w:rsidRDefault="00591B5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Cơ cấu tài sản quỹ</w:t>
            </w:r>
          </w:p>
        </w:tc>
        <w:tc>
          <w:tcPr>
            <w:tcW w:w="1008" w:type="pct"/>
          </w:tcPr>
          <w:p w14:paraId="33F63F13" w14:textId="77777777" w:rsidR="00591B50" w:rsidRPr="004647B9" w:rsidRDefault="00591B50" w:rsidP="00591B50">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2B32DB3E" w14:textId="08DE80EA" w:rsidR="00591B50" w:rsidRPr="004647B9" w:rsidRDefault="00591B50" w:rsidP="00591B50">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77428E37" w14:textId="4F706773" w:rsidR="00591B50" w:rsidRPr="004647B9" w:rsidRDefault="00591B5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p w14:paraId="4F56B9CF" w14:textId="77777777" w:rsidR="00591B50" w:rsidRPr="004647B9" w:rsidRDefault="00591B5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971F5D" w:rsidRPr="004647B9" w14:paraId="24D2596E" w14:textId="77777777" w:rsidTr="00591B50">
        <w:tc>
          <w:tcPr>
            <w:tcW w:w="3021" w:type="pct"/>
            <w:shd w:val="clear" w:color="auto" w:fill="auto"/>
            <w:vAlign w:val="center"/>
          </w:tcPr>
          <w:p w14:paraId="33FCFD60" w14:textId="6918A882" w:rsidR="00971F5D" w:rsidRPr="004647B9" w:rsidRDefault="00971F5D" w:rsidP="00971F5D">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1008" w:type="pct"/>
          </w:tcPr>
          <w:p w14:paraId="16826F50" w14:textId="792C3C72" w:rsidR="00971F5D" w:rsidRPr="00A6592B" w:rsidRDefault="00971F5D" w:rsidP="00971F5D">
            <w:pPr>
              <w:tabs>
                <w:tab w:val="left" w:pos="540"/>
              </w:tabs>
              <w:spacing w:before="120" w:after="0" w:line="240" w:lineRule="auto"/>
              <w:jc w:val="center"/>
              <w:rPr>
                <w:rFonts w:ascii="Times New Roman" w:eastAsia="Times New Roman" w:hAnsi="Times New Roman"/>
                <w:sz w:val="24"/>
                <w:szCs w:val="24"/>
                <w:lang w:val="nl-NL"/>
              </w:rPr>
            </w:pPr>
            <w:r w:rsidRPr="00971F5D">
              <w:rPr>
                <w:rFonts w:ascii="Times New Roman" w:eastAsia="Times New Roman" w:hAnsi="Times New Roman"/>
                <w:sz w:val="24"/>
                <w:szCs w:val="24"/>
                <w:lang w:val="nl-NL"/>
              </w:rPr>
              <w:t>24.61%</w:t>
            </w:r>
          </w:p>
        </w:tc>
        <w:tc>
          <w:tcPr>
            <w:tcW w:w="971" w:type="pct"/>
            <w:shd w:val="clear" w:color="auto" w:fill="auto"/>
          </w:tcPr>
          <w:p w14:paraId="0B91117D" w14:textId="3117CA64" w:rsidR="00971F5D" w:rsidRPr="00E92101" w:rsidRDefault="00971F5D" w:rsidP="00971F5D">
            <w:pPr>
              <w:tabs>
                <w:tab w:val="left" w:pos="540"/>
              </w:tabs>
              <w:spacing w:before="120" w:after="0" w:line="240" w:lineRule="auto"/>
              <w:jc w:val="center"/>
              <w:rPr>
                <w:rFonts w:ascii="Times New Roman" w:eastAsia="Times New Roman" w:hAnsi="Times New Roman"/>
                <w:sz w:val="24"/>
                <w:szCs w:val="24"/>
                <w:lang w:val="nl-NL"/>
              </w:rPr>
            </w:pPr>
            <w:r w:rsidRPr="00971F5D">
              <w:rPr>
                <w:rFonts w:ascii="Times New Roman" w:eastAsia="Times New Roman" w:hAnsi="Times New Roman"/>
                <w:sz w:val="24"/>
                <w:szCs w:val="24"/>
                <w:lang w:val="nl-NL"/>
              </w:rPr>
              <w:t>0.00%</w:t>
            </w:r>
          </w:p>
        </w:tc>
      </w:tr>
      <w:tr w:rsidR="00971F5D" w:rsidRPr="004647B9" w14:paraId="4D0C35D7" w14:textId="77777777" w:rsidTr="00591B50">
        <w:tc>
          <w:tcPr>
            <w:tcW w:w="3021" w:type="pct"/>
            <w:shd w:val="clear" w:color="auto" w:fill="auto"/>
            <w:vAlign w:val="center"/>
          </w:tcPr>
          <w:p w14:paraId="34BD949F" w14:textId="660522C8" w:rsidR="00971F5D" w:rsidRPr="004647B9" w:rsidRDefault="00971F5D" w:rsidP="00971F5D">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1008" w:type="pct"/>
          </w:tcPr>
          <w:p w14:paraId="6A80C9AB" w14:textId="78BC243C" w:rsidR="00971F5D" w:rsidRPr="00A6592B" w:rsidRDefault="00971F5D" w:rsidP="00971F5D">
            <w:pPr>
              <w:tabs>
                <w:tab w:val="left" w:pos="540"/>
              </w:tabs>
              <w:spacing w:before="120" w:after="0" w:line="240" w:lineRule="auto"/>
              <w:jc w:val="center"/>
              <w:rPr>
                <w:rFonts w:ascii="Times New Roman" w:eastAsia="Times New Roman" w:hAnsi="Times New Roman"/>
                <w:sz w:val="24"/>
                <w:szCs w:val="24"/>
                <w:lang w:val="nl-NL"/>
              </w:rPr>
            </w:pPr>
            <w:r w:rsidRPr="00971F5D">
              <w:rPr>
                <w:rFonts w:ascii="Times New Roman" w:eastAsia="Times New Roman" w:hAnsi="Times New Roman"/>
                <w:sz w:val="24"/>
                <w:szCs w:val="24"/>
                <w:lang w:val="nl-NL"/>
              </w:rPr>
              <w:t>17.90%</w:t>
            </w:r>
          </w:p>
        </w:tc>
        <w:tc>
          <w:tcPr>
            <w:tcW w:w="971" w:type="pct"/>
            <w:shd w:val="clear" w:color="auto" w:fill="auto"/>
          </w:tcPr>
          <w:p w14:paraId="67FB726C" w14:textId="64C6FDB1" w:rsidR="00971F5D" w:rsidRPr="00E92101" w:rsidRDefault="00971F5D" w:rsidP="00971F5D">
            <w:pPr>
              <w:tabs>
                <w:tab w:val="left" w:pos="540"/>
              </w:tabs>
              <w:spacing w:before="120" w:after="0" w:line="240" w:lineRule="auto"/>
              <w:jc w:val="center"/>
              <w:rPr>
                <w:rFonts w:ascii="Times New Roman" w:eastAsia="Times New Roman" w:hAnsi="Times New Roman"/>
                <w:sz w:val="24"/>
                <w:szCs w:val="24"/>
                <w:lang w:val="nl-NL"/>
              </w:rPr>
            </w:pPr>
            <w:r w:rsidRPr="00971F5D">
              <w:rPr>
                <w:rFonts w:ascii="Times New Roman" w:eastAsia="Times New Roman" w:hAnsi="Times New Roman"/>
                <w:sz w:val="24"/>
                <w:szCs w:val="24"/>
                <w:lang w:val="nl-NL"/>
              </w:rPr>
              <w:t>60.22%</w:t>
            </w:r>
          </w:p>
        </w:tc>
      </w:tr>
      <w:tr w:rsidR="00971F5D" w:rsidRPr="004647B9" w14:paraId="2B8F060E" w14:textId="77777777" w:rsidTr="00591B50">
        <w:tc>
          <w:tcPr>
            <w:tcW w:w="3021" w:type="pct"/>
            <w:shd w:val="clear" w:color="auto" w:fill="auto"/>
            <w:vAlign w:val="center"/>
          </w:tcPr>
          <w:p w14:paraId="687A447B" w14:textId="56D5388C" w:rsidR="00971F5D" w:rsidRPr="004647B9" w:rsidRDefault="00971F5D" w:rsidP="00971F5D">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1008" w:type="pct"/>
          </w:tcPr>
          <w:p w14:paraId="5B81740F" w14:textId="40FF5EB8" w:rsidR="00971F5D" w:rsidRPr="00A6592B" w:rsidRDefault="00971F5D" w:rsidP="00971F5D">
            <w:pPr>
              <w:tabs>
                <w:tab w:val="left" w:pos="540"/>
              </w:tabs>
              <w:spacing w:before="120" w:after="0" w:line="240" w:lineRule="auto"/>
              <w:jc w:val="center"/>
              <w:rPr>
                <w:rFonts w:ascii="Times New Roman" w:eastAsia="Times New Roman" w:hAnsi="Times New Roman"/>
                <w:sz w:val="24"/>
                <w:szCs w:val="24"/>
                <w:lang w:val="nl-NL"/>
              </w:rPr>
            </w:pPr>
            <w:r w:rsidRPr="00971F5D">
              <w:rPr>
                <w:rFonts w:ascii="Times New Roman" w:eastAsia="Times New Roman" w:hAnsi="Times New Roman"/>
                <w:sz w:val="24"/>
                <w:szCs w:val="24"/>
                <w:lang w:val="nl-NL"/>
              </w:rPr>
              <w:t>57.49%</w:t>
            </w:r>
          </w:p>
        </w:tc>
        <w:tc>
          <w:tcPr>
            <w:tcW w:w="971" w:type="pct"/>
            <w:shd w:val="clear" w:color="auto" w:fill="auto"/>
          </w:tcPr>
          <w:p w14:paraId="35A2188C" w14:textId="1FE19682" w:rsidR="00971F5D" w:rsidRPr="00E92101" w:rsidRDefault="00971F5D" w:rsidP="00971F5D">
            <w:pPr>
              <w:tabs>
                <w:tab w:val="left" w:pos="540"/>
              </w:tabs>
              <w:spacing w:before="120" w:after="0" w:line="240" w:lineRule="auto"/>
              <w:jc w:val="center"/>
              <w:rPr>
                <w:rFonts w:ascii="Times New Roman" w:eastAsia="Times New Roman" w:hAnsi="Times New Roman"/>
                <w:sz w:val="24"/>
                <w:szCs w:val="24"/>
                <w:lang w:val="nl-NL"/>
              </w:rPr>
            </w:pPr>
            <w:r w:rsidRPr="00971F5D">
              <w:rPr>
                <w:rFonts w:ascii="Times New Roman" w:eastAsia="Times New Roman" w:hAnsi="Times New Roman"/>
                <w:sz w:val="24"/>
                <w:szCs w:val="24"/>
                <w:lang w:val="nl-NL"/>
              </w:rPr>
              <w:t>39.78%</w:t>
            </w:r>
          </w:p>
        </w:tc>
      </w:tr>
      <w:tr w:rsidR="00591B50" w:rsidRPr="004647B9" w14:paraId="72495D15" w14:textId="77777777" w:rsidTr="00591B50">
        <w:tc>
          <w:tcPr>
            <w:tcW w:w="3021" w:type="pct"/>
            <w:shd w:val="clear" w:color="auto" w:fill="auto"/>
            <w:vAlign w:val="center"/>
          </w:tcPr>
          <w:p w14:paraId="28E8061A" w14:textId="77777777" w:rsidR="00591B50" w:rsidRPr="004647B9" w:rsidRDefault="00591B50"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1008" w:type="pct"/>
          </w:tcPr>
          <w:p w14:paraId="27FECA1D" w14:textId="6F7B75E9" w:rsidR="00591B50" w:rsidRPr="004647B9" w:rsidRDefault="00591B50"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100.00%</w:t>
            </w:r>
          </w:p>
        </w:tc>
        <w:tc>
          <w:tcPr>
            <w:tcW w:w="971" w:type="pct"/>
            <w:shd w:val="clear" w:color="auto" w:fill="auto"/>
            <w:vAlign w:val="center"/>
          </w:tcPr>
          <w:p w14:paraId="683EE411" w14:textId="104E5425" w:rsidR="00591B50" w:rsidRPr="004647B9" w:rsidRDefault="00591B50"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100.00%</w:t>
            </w:r>
          </w:p>
        </w:tc>
      </w:tr>
    </w:tbl>
    <w:p w14:paraId="30C96321" w14:textId="611CBAAA" w:rsidR="00756A76" w:rsidRPr="004647B9"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76F73">
        <w:rPr>
          <w:rFonts w:ascii="Times New Roman" w:hAnsi="Times New Roman"/>
          <w:b/>
          <w:sz w:val="24"/>
          <w:szCs w:val="24"/>
          <w:lang w:val="nl-NL"/>
        </w:rPr>
        <w:t>2.</w:t>
      </w:r>
      <w:r w:rsidR="00BE6F63" w:rsidRPr="00676F73">
        <w:rPr>
          <w:rFonts w:ascii="Times New Roman" w:hAnsi="Times New Roman"/>
          <w:b/>
          <w:sz w:val="24"/>
          <w:szCs w:val="24"/>
          <w:lang w:val="nl-NL"/>
        </w:rPr>
        <w:t>2. Chi tiết chỉ tiêu hoạt động:</w:t>
      </w:r>
    </w:p>
    <w:tbl>
      <w:tblPr>
        <w:tblW w:w="9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66"/>
        <w:gridCol w:w="1891"/>
        <w:gridCol w:w="1821"/>
      </w:tblGrid>
      <w:tr w:rsidR="00591B50" w:rsidRPr="00A90AB7" w14:paraId="21034AD9" w14:textId="77777777" w:rsidTr="00971F5D">
        <w:tc>
          <w:tcPr>
            <w:tcW w:w="3021" w:type="pct"/>
            <w:shd w:val="clear" w:color="auto" w:fill="auto"/>
            <w:vAlign w:val="center"/>
          </w:tcPr>
          <w:p w14:paraId="1D5B1819" w14:textId="3725DEB6" w:rsidR="00591B50" w:rsidRPr="004647B9" w:rsidRDefault="00591B50" w:rsidP="00591B50">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w:t>
            </w:r>
            <w:r>
              <w:rPr>
                <w:rFonts w:ascii="Times New Roman" w:eastAsia="Times New Roman" w:hAnsi="Times New Roman"/>
                <w:b/>
                <w:sz w:val="24"/>
                <w:szCs w:val="24"/>
                <w:lang w:val="nl-NL"/>
              </w:rPr>
              <w:t>ỉ</w:t>
            </w:r>
            <w:r w:rsidRPr="004647B9">
              <w:rPr>
                <w:rFonts w:ascii="Times New Roman" w:eastAsia="Times New Roman" w:hAnsi="Times New Roman"/>
                <w:b/>
                <w:sz w:val="24"/>
                <w:szCs w:val="24"/>
                <w:lang w:val="nl-NL"/>
              </w:rPr>
              <w:t xml:space="preserve"> tiêu</w:t>
            </w:r>
          </w:p>
        </w:tc>
        <w:tc>
          <w:tcPr>
            <w:tcW w:w="1008" w:type="pct"/>
            <w:vAlign w:val="center"/>
          </w:tcPr>
          <w:p w14:paraId="66DACAEC" w14:textId="73073E23" w:rsidR="00591B50" w:rsidRPr="004647B9" w:rsidRDefault="00591B50" w:rsidP="00591B50">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c>
          <w:tcPr>
            <w:tcW w:w="971" w:type="pct"/>
            <w:shd w:val="clear" w:color="auto" w:fill="auto"/>
            <w:vAlign w:val="center"/>
          </w:tcPr>
          <w:p w14:paraId="4AB83160" w14:textId="19E40CDB" w:rsidR="00591B50" w:rsidRPr="00B17BB1" w:rsidRDefault="00591B50" w:rsidP="00591B50">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tc>
      </w:tr>
      <w:tr w:rsidR="00971F5D" w:rsidRPr="00A90AB7" w14:paraId="1582E00A" w14:textId="77777777" w:rsidTr="00971F5D">
        <w:tc>
          <w:tcPr>
            <w:tcW w:w="3021" w:type="pct"/>
            <w:shd w:val="clear" w:color="auto" w:fill="auto"/>
            <w:vAlign w:val="center"/>
          </w:tcPr>
          <w:p w14:paraId="165B2506" w14:textId="20F97838"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1008" w:type="pct"/>
            <w:vAlign w:val="center"/>
          </w:tcPr>
          <w:p w14:paraId="2608880E" w14:textId="185E2198" w:rsidR="00971F5D" w:rsidRPr="009A387A" w:rsidRDefault="00971F5D" w:rsidP="00971F5D">
            <w:pPr>
              <w:tabs>
                <w:tab w:val="left" w:pos="540"/>
              </w:tabs>
              <w:spacing w:before="120" w:after="120" w:line="240" w:lineRule="auto"/>
              <w:ind w:right="57"/>
              <w:jc w:val="center"/>
              <w:rPr>
                <w:rFonts w:ascii="Times New Roman" w:hAnsi="Times New Roman"/>
                <w:sz w:val="24"/>
                <w:szCs w:val="24"/>
              </w:rPr>
            </w:pPr>
            <w:r w:rsidRPr="00971F5D">
              <w:rPr>
                <w:rFonts w:ascii="Times New Roman" w:hAnsi="Times New Roman"/>
                <w:sz w:val="24"/>
                <w:szCs w:val="24"/>
              </w:rPr>
              <w:t xml:space="preserve"> 62,384,987,022 </w:t>
            </w:r>
          </w:p>
        </w:tc>
        <w:tc>
          <w:tcPr>
            <w:tcW w:w="971" w:type="pct"/>
            <w:shd w:val="clear" w:color="auto" w:fill="auto"/>
            <w:vAlign w:val="center"/>
          </w:tcPr>
          <w:p w14:paraId="41A827E1" w14:textId="5C26BAC2" w:rsidR="00971F5D" w:rsidRPr="009A387A" w:rsidRDefault="00971F5D" w:rsidP="00971F5D">
            <w:pPr>
              <w:tabs>
                <w:tab w:val="left" w:pos="540"/>
              </w:tabs>
              <w:spacing w:before="120" w:after="120" w:line="240" w:lineRule="auto"/>
              <w:ind w:right="57"/>
              <w:jc w:val="center"/>
              <w:rPr>
                <w:rFonts w:ascii="Times New Roman" w:hAnsi="Times New Roman"/>
                <w:sz w:val="24"/>
                <w:szCs w:val="24"/>
              </w:rPr>
            </w:pPr>
            <w:r w:rsidRPr="00971F5D">
              <w:rPr>
                <w:rFonts w:ascii="Times New Roman" w:hAnsi="Times New Roman"/>
                <w:sz w:val="24"/>
                <w:szCs w:val="24"/>
              </w:rPr>
              <w:t xml:space="preserve">60,559,036,890   </w:t>
            </w:r>
          </w:p>
        </w:tc>
      </w:tr>
      <w:tr w:rsidR="00971F5D" w:rsidRPr="00A90AB7" w14:paraId="740B9023" w14:textId="77777777" w:rsidTr="00971F5D">
        <w:tc>
          <w:tcPr>
            <w:tcW w:w="3021" w:type="pct"/>
            <w:shd w:val="clear" w:color="auto" w:fill="auto"/>
            <w:vAlign w:val="center"/>
          </w:tcPr>
          <w:p w14:paraId="58D993A2" w14:textId="6DFC9F9E"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1008" w:type="pct"/>
            <w:vAlign w:val="center"/>
          </w:tcPr>
          <w:p w14:paraId="453B2F16" w14:textId="6626C0BA" w:rsidR="00971F5D" w:rsidRPr="009A387A" w:rsidRDefault="00971F5D" w:rsidP="00971F5D">
            <w:pPr>
              <w:tabs>
                <w:tab w:val="left" w:pos="540"/>
              </w:tabs>
              <w:spacing w:before="120" w:after="120" w:line="240" w:lineRule="auto"/>
              <w:ind w:left="57" w:right="57"/>
              <w:jc w:val="center"/>
              <w:rPr>
                <w:rFonts w:ascii="Times New Roman" w:hAnsi="Times New Roman"/>
                <w:sz w:val="24"/>
                <w:szCs w:val="24"/>
              </w:rPr>
            </w:pPr>
            <w:r w:rsidRPr="00971F5D">
              <w:rPr>
                <w:rFonts w:ascii="Times New Roman" w:hAnsi="Times New Roman"/>
                <w:sz w:val="24"/>
                <w:szCs w:val="24"/>
              </w:rPr>
              <w:t xml:space="preserve"> 6,200,277.95   </w:t>
            </w:r>
          </w:p>
        </w:tc>
        <w:tc>
          <w:tcPr>
            <w:tcW w:w="971" w:type="pct"/>
            <w:shd w:val="clear" w:color="auto" w:fill="auto"/>
            <w:vAlign w:val="center"/>
          </w:tcPr>
          <w:p w14:paraId="2E0189F1" w14:textId="196FCA6F" w:rsidR="00971F5D" w:rsidRPr="009A387A" w:rsidRDefault="00971F5D" w:rsidP="00971F5D">
            <w:pPr>
              <w:tabs>
                <w:tab w:val="left" w:pos="540"/>
              </w:tabs>
              <w:spacing w:before="120" w:after="120" w:line="240" w:lineRule="auto"/>
              <w:ind w:left="57" w:right="57"/>
              <w:jc w:val="center"/>
              <w:rPr>
                <w:rFonts w:ascii="Times New Roman" w:hAnsi="Times New Roman"/>
                <w:sz w:val="24"/>
                <w:szCs w:val="24"/>
              </w:rPr>
            </w:pPr>
            <w:r w:rsidRPr="00971F5D">
              <w:rPr>
                <w:rFonts w:ascii="Times New Roman" w:hAnsi="Times New Roman"/>
                <w:sz w:val="24"/>
                <w:szCs w:val="24"/>
              </w:rPr>
              <w:t xml:space="preserve"> 6,061,491.19   </w:t>
            </w:r>
          </w:p>
        </w:tc>
      </w:tr>
      <w:tr w:rsidR="00971F5D" w:rsidRPr="00A90AB7" w14:paraId="0F7D1AC6" w14:textId="77777777" w:rsidTr="00971F5D">
        <w:tc>
          <w:tcPr>
            <w:tcW w:w="3021" w:type="pct"/>
            <w:shd w:val="clear" w:color="auto" w:fill="auto"/>
            <w:vAlign w:val="center"/>
          </w:tcPr>
          <w:p w14:paraId="7AA58A45" w14:textId="3B608EAD"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1008" w:type="pct"/>
            <w:vAlign w:val="center"/>
          </w:tcPr>
          <w:p w14:paraId="71A7EC96" w14:textId="70B5BDCB" w:rsidR="00971F5D" w:rsidRPr="009A387A" w:rsidRDefault="00971F5D" w:rsidP="00971F5D">
            <w:pPr>
              <w:tabs>
                <w:tab w:val="left" w:pos="540"/>
              </w:tabs>
              <w:spacing w:before="120" w:after="120" w:line="240" w:lineRule="auto"/>
              <w:ind w:left="57" w:right="57"/>
              <w:jc w:val="center"/>
              <w:rPr>
                <w:rFonts w:ascii="Times New Roman" w:hAnsi="Times New Roman"/>
                <w:sz w:val="24"/>
                <w:szCs w:val="24"/>
              </w:rPr>
            </w:pPr>
            <w:r w:rsidRPr="00971F5D">
              <w:rPr>
                <w:rFonts w:ascii="Times New Roman" w:hAnsi="Times New Roman"/>
                <w:sz w:val="24"/>
                <w:szCs w:val="24"/>
              </w:rPr>
              <w:t xml:space="preserve"> 10,061.64   </w:t>
            </w:r>
          </w:p>
        </w:tc>
        <w:tc>
          <w:tcPr>
            <w:tcW w:w="971" w:type="pct"/>
            <w:shd w:val="clear" w:color="auto" w:fill="auto"/>
            <w:vAlign w:val="center"/>
          </w:tcPr>
          <w:p w14:paraId="3BB66723" w14:textId="16284D3D" w:rsidR="00971F5D" w:rsidRPr="009A387A" w:rsidRDefault="00971F5D" w:rsidP="00971F5D">
            <w:pPr>
              <w:tabs>
                <w:tab w:val="left" w:pos="540"/>
              </w:tabs>
              <w:spacing w:before="120" w:after="120" w:line="240" w:lineRule="auto"/>
              <w:ind w:left="57" w:right="57"/>
              <w:jc w:val="center"/>
              <w:rPr>
                <w:rFonts w:ascii="Times New Roman" w:hAnsi="Times New Roman"/>
                <w:sz w:val="24"/>
                <w:szCs w:val="24"/>
              </w:rPr>
            </w:pPr>
            <w:r w:rsidRPr="00971F5D">
              <w:rPr>
                <w:rFonts w:ascii="Times New Roman" w:hAnsi="Times New Roman"/>
                <w:sz w:val="24"/>
                <w:szCs w:val="24"/>
              </w:rPr>
              <w:t xml:space="preserve"> 9,990.78   </w:t>
            </w:r>
          </w:p>
        </w:tc>
      </w:tr>
      <w:tr w:rsidR="00971F5D" w:rsidRPr="00A90AB7" w14:paraId="395AB2AB" w14:textId="77777777" w:rsidTr="00971F5D">
        <w:tc>
          <w:tcPr>
            <w:tcW w:w="3021" w:type="pct"/>
            <w:shd w:val="clear" w:color="auto" w:fill="auto"/>
            <w:vAlign w:val="center"/>
          </w:tcPr>
          <w:p w14:paraId="4D78CBEF" w14:textId="6A7877DD"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1008" w:type="pct"/>
            <w:vAlign w:val="center"/>
          </w:tcPr>
          <w:p w14:paraId="0294BAF0" w14:textId="2327CA92" w:rsidR="00971F5D" w:rsidRPr="009A387A" w:rsidRDefault="00971F5D" w:rsidP="00971F5D">
            <w:pPr>
              <w:tabs>
                <w:tab w:val="left" w:pos="540"/>
              </w:tabs>
              <w:spacing w:before="120" w:after="120" w:line="240" w:lineRule="auto"/>
              <w:ind w:left="57" w:right="57"/>
              <w:jc w:val="center"/>
              <w:rPr>
                <w:rFonts w:ascii="Times New Roman" w:hAnsi="Times New Roman"/>
                <w:sz w:val="24"/>
                <w:szCs w:val="24"/>
              </w:rPr>
            </w:pPr>
            <w:r w:rsidRPr="00971F5D">
              <w:rPr>
                <w:rFonts w:ascii="Times New Roman" w:hAnsi="Times New Roman"/>
                <w:sz w:val="24"/>
                <w:szCs w:val="24"/>
              </w:rPr>
              <w:t xml:space="preserve"> 10,154.27   </w:t>
            </w:r>
          </w:p>
        </w:tc>
        <w:tc>
          <w:tcPr>
            <w:tcW w:w="971" w:type="pct"/>
            <w:shd w:val="clear" w:color="auto" w:fill="auto"/>
            <w:vAlign w:val="center"/>
          </w:tcPr>
          <w:p w14:paraId="2E347DE5" w14:textId="497532B6" w:rsidR="00971F5D" w:rsidRPr="009A387A" w:rsidRDefault="00971F5D" w:rsidP="00971F5D">
            <w:pPr>
              <w:tabs>
                <w:tab w:val="left" w:pos="540"/>
              </w:tabs>
              <w:spacing w:before="120" w:after="120" w:line="240" w:lineRule="auto"/>
              <w:ind w:left="57" w:right="57"/>
              <w:jc w:val="center"/>
              <w:rPr>
                <w:rFonts w:ascii="Times New Roman" w:hAnsi="Times New Roman"/>
                <w:sz w:val="24"/>
                <w:szCs w:val="24"/>
              </w:rPr>
            </w:pPr>
            <w:r w:rsidRPr="00971F5D">
              <w:rPr>
                <w:rFonts w:ascii="Times New Roman" w:hAnsi="Times New Roman"/>
                <w:sz w:val="24"/>
                <w:szCs w:val="24"/>
              </w:rPr>
              <w:t xml:space="preserve"> 9,992.59   </w:t>
            </w:r>
          </w:p>
        </w:tc>
      </w:tr>
      <w:tr w:rsidR="00971F5D" w:rsidRPr="00A90AB7" w14:paraId="3A3FE5B3" w14:textId="77777777" w:rsidTr="00971F5D">
        <w:tc>
          <w:tcPr>
            <w:tcW w:w="3021" w:type="pct"/>
            <w:shd w:val="clear" w:color="auto" w:fill="auto"/>
            <w:vAlign w:val="center"/>
          </w:tcPr>
          <w:p w14:paraId="67851E1D" w14:textId="52AA6C49"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1008" w:type="pct"/>
            <w:vAlign w:val="center"/>
          </w:tcPr>
          <w:p w14:paraId="4C67D71E" w14:textId="3027465C" w:rsidR="00971F5D" w:rsidRPr="009A387A" w:rsidRDefault="00971F5D" w:rsidP="00971F5D">
            <w:pPr>
              <w:tabs>
                <w:tab w:val="left" w:pos="540"/>
              </w:tabs>
              <w:spacing w:before="120" w:after="120" w:line="240" w:lineRule="auto"/>
              <w:ind w:left="57" w:right="57"/>
              <w:jc w:val="center"/>
              <w:rPr>
                <w:rFonts w:ascii="Times New Roman" w:hAnsi="Times New Roman"/>
                <w:sz w:val="24"/>
                <w:szCs w:val="24"/>
              </w:rPr>
            </w:pPr>
            <w:r w:rsidRPr="00971F5D">
              <w:rPr>
                <w:rFonts w:ascii="Times New Roman" w:hAnsi="Times New Roman"/>
                <w:sz w:val="24"/>
                <w:szCs w:val="24"/>
              </w:rPr>
              <w:t xml:space="preserve"> 10,061.64   </w:t>
            </w:r>
          </w:p>
        </w:tc>
        <w:tc>
          <w:tcPr>
            <w:tcW w:w="971" w:type="pct"/>
            <w:shd w:val="clear" w:color="auto" w:fill="auto"/>
            <w:vAlign w:val="center"/>
          </w:tcPr>
          <w:p w14:paraId="78E13020" w14:textId="6FDEA47C" w:rsidR="00971F5D" w:rsidRPr="009A387A" w:rsidRDefault="00971F5D" w:rsidP="00971F5D">
            <w:pPr>
              <w:tabs>
                <w:tab w:val="left" w:pos="540"/>
              </w:tabs>
              <w:spacing w:before="120" w:after="120" w:line="240" w:lineRule="auto"/>
              <w:ind w:left="57" w:right="57"/>
              <w:jc w:val="center"/>
              <w:rPr>
                <w:rFonts w:ascii="Times New Roman" w:hAnsi="Times New Roman"/>
                <w:sz w:val="24"/>
                <w:szCs w:val="24"/>
              </w:rPr>
            </w:pPr>
            <w:r w:rsidRPr="00971F5D">
              <w:rPr>
                <w:rFonts w:ascii="Times New Roman" w:hAnsi="Times New Roman"/>
                <w:sz w:val="24"/>
                <w:szCs w:val="24"/>
              </w:rPr>
              <w:t xml:space="preserve"> 9,982.19   </w:t>
            </w:r>
          </w:p>
        </w:tc>
      </w:tr>
      <w:tr w:rsidR="00971F5D" w:rsidRPr="00A90AB7" w14:paraId="680FA9D8" w14:textId="77777777" w:rsidTr="00971F5D">
        <w:tc>
          <w:tcPr>
            <w:tcW w:w="3021" w:type="pct"/>
            <w:shd w:val="clear" w:color="auto" w:fill="auto"/>
            <w:vAlign w:val="center"/>
          </w:tcPr>
          <w:p w14:paraId="405BCECE" w14:textId="458695A7"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1008" w:type="pct"/>
            <w:vAlign w:val="center"/>
          </w:tcPr>
          <w:p w14:paraId="133EF18B" w14:textId="5C5CD269"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971F5D">
              <w:rPr>
                <w:rFonts w:ascii="Times New Roman" w:hAnsi="Times New Roman"/>
                <w:sz w:val="24"/>
                <w:szCs w:val="24"/>
              </w:rPr>
              <w:t>Không</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áp</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dụng</w:t>
            </w:r>
            <w:proofErr w:type="spellEnd"/>
          </w:p>
        </w:tc>
        <w:tc>
          <w:tcPr>
            <w:tcW w:w="971" w:type="pct"/>
            <w:shd w:val="clear" w:color="auto" w:fill="auto"/>
            <w:vAlign w:val="center"/>
          </w:tcPr>
          <w:p w14:paraId="1D199951" w14:textId="46B47024"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971F5D" w:rsidRPr="00A90AB7" w14:paraId="2492316D" w14:textId="77777777" w:rsidTr="00971F5D">
        <w:tc>
          <w:tcPr>
            <w:tcW w:w="3021" w:type="pct"/>
            <w:shd w:val="clear" w:color="auto" w:fill="auto"/>
            <w:vAlign w:val="center"/>
          </w:tcPr>
          <w:p w14:paraId="3BF3BB34" w14:textId="21F61CD2"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1008" w:type="pct"/>
            <w:vAlign w:val="center"/>
          </w:tcPr>
          <w:p w14:paraId="54971C8F" w14:textId="7000F63C"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971F5D">
              <w:rPr>
                <w:rFonts w:ascii="Times New Roman" w:hAnsi="Times New Roman"/>
                <w:sz w:val="24"/>
                <w:szCs w:val="24"/>
              </w:rPr>
              <w:t>Không</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áp</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dụng</w:t>
            </w:r>
            <w:proofErr w:type="spellEnd"/>
          </w:p>
        </w:tc>
        <w:tc>
          <w:tcPr>
            <w:tcW w:w="971" w:type="pct"/>
            <w:shd w:val="clear" w:color="auto" w:fill="auto"/>
            <w:vAlign w:val="center"/>
          </w:tcPr>
          <w:p w14:paraId="10619DC6" w14:textId="70C51A84"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971F5D" w:rsidRPr="00A90AB7" w14:paraId="51B49DCF" w14:textId="77777777" w:rsidTr="00971F5D">
        <w:tc>
          <w:tcPr>
            <w:tcW w:w="3021" w:type="pct"/>
            <w:shd w:val="clear" w:color="auto" w:fill="auto"/>
            <w:vAlign w:val="center"/>
          </w:tcPr>
          <w:p w14:paraId="177EE2D0" w14:textId="5AFD6F55"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1008" w:type="pct"/>
            <w:vAlign w:val="center"/>
          </w:tcPr>
          <w:p w14:paraId="6BB35B77" w14:textId="6FF351CE"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971F5D">
              <w:rPr>
                <w:rFonts w:ascii="Times New Roman" w:hAnsi="Times New Roman"/>
                <w:sz w:val="24"/>
                <w:szCs w:val="24"/>
              </w:rPr>
              <w:t>Không</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áp</w:t>
            </w:r>
            <w:proofErr w:type="spellEnd"/>
            <w:r w:rsidRPr="00971F5D">
              <w:rPr>
                <w:rFonts w:ascii="Times New Roman" w:hAnsi="Times New Roman"/>
                <w:sz w:val="24"/>
                <w:szCs w:val="24"/>
              </w:rPr>
              <w:t xml:space="preserve"> </w:t>
            </w:r>
            <w:proofErr w:type="spellStart"/>
            <w:r w:rsidRPr="00971F5D">
              <w:rPr>
                <w:rFonts w:ascii="Times New Roman" w:hAnsi="Times New Roman"/>
                <w:sz w:val="24"/>
                <w:szCs w:val="24"/>
              </w:rPr>
              <w:t>dụng</w:t>
            </w:r>
            <w:proofErr w:type="spellEnd"/>
          </w:p>
        </w:tc>
        <w:tc>
          <w:tcPr>
            <w:tcW w:w="971" w:type="pct"/>
            <w:shd w:val="clear" w:color="auto" w:fill="auto"/>
            <w:vAlign w:val="center"/>
          </w:tcPr>
          <w:p w14:paraId="79D01296" w14:textId="442F7549"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971F5D" w:rsidRPr="00A90AB7" w14:paraId="3D43ACEE" w14:textId="77777777" w:rsidTr="00AC29E7">
        <w:tc>
          <w:tcPr>
            <w:tcW w:w="3021" w:type="pct"/>
            <w:shd w:val="clear" w:color="auto" w:fill="auto"/>
            <w:vAlign w:val="center"/>
          </w:tcPr>
          <w:p w14:paraId="1916F095" w14:textId="5D69F5E0"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1008" w:type="pct"/>
          </w:tcPr>
          <w:p w14:paraId="670492AC" w14:textId="41B50003" w:rsidR="00971F5D" w:rsidRPr="00971F5D" w:rsidRDefault="00971F5D" w:rsidP="00971F5D">
            <w:pPr>
              <w:tabs>
                <w:tab w:val="left" w:pos="540"/>
              </w:tabs>
              <w:spacing w:before="120" w:after="120" w:line="240" w:lineRule="auto"/>
              <w:ind w:left="57" w:right="57"/>
              <w:jc w:val="center"/>
              <w:rPr>
                <w:rFonts w:ascii="Times New Roman" w:hAnsi="Times New Roman"/>
                <w:sz w:val="24"/>
                <w:szCs w:val="24"/>
              </w:rPr>
            </w:pPr>
            <w:r w:rsidRPr="00971F5D">
              <w:rPr>
                <w:rFonts w:ascii="Times New Roman" w:hAnsi="Times New Roman"/>
                <w:sz w:val="24"/>
                <w:szCs w:val="24"/>
              </w:rPr>
              <w:t>-0.46%</w:t>
            </w:r>
          </w:p>
        </w:tc>
        <w:tc>
          <w:tcPr>
            <w:tcW w:w="971" w:type="pct"/>
            <w:shd w:val="clear" w:color="auto" w:fill="auto"/>
          </w:tcPr>
          <w:p w14:paraId="20184A90" w14:textId="557F0084" w:rsidR="00971F5D" w:rsidRPr="00E92101" w:rsidRDefault="00971F5D" w:rsidP="00971F5D">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281F7C">
              <w:rPr>
                <w:rFonts w:ascii="Times New Roman" w:hAnsi="Times New Roman"/>
                <w:sz w:val="24"/>
                <w:szCs w:val="24"/>
              </w:rPr>
              <w:t>Không</w:t>
            </w:r>
            <w:proofErr w:type="spellEnd"/>
            <w:r w:rsidRPr="00281F7C">
              <w:rPr>
                <w:rFonts w:ascii="Times New Roman" w:hAnsi="Times New Roman"/>
                <w:sz w:val="24"/>
                <w:szCs w:val="24"/>
              </w:rPr>
              <w:t xml:space="preserve"> </w:t>
            </w:r>
            <w:proofErr w:type="spellStart"/>
            <w:r w:rsidRPr="00281F7C">
              <w:rPr>
                <w:rFonts w:ascii="Times New Roman" w:hAnsi="Times New Roman"/>
                <w:sz w:val="24"/>
                <w:szCs w:val="24"/>
              </w:rPr>
              <w:t>áp</w:t>
            </w:r>
            <w:proofErr w:type="spellEnd"/>
            <w:r w:rsidRPr="00281F7C">
              <w:rPr>
                <w:rFonts w:ascii="Times New Roman" w:hAnsi="Times New Roman"/>
                <w:sz w:val="24"/>
                <w:szCs w:val="24"/>
              </w:rPr>
              <w:t xml:space="preserve"> </w:t>
            </w:r>
            <w:proofErr w:type="spellStart"/>
            <w:r w:rsidRPr="00281F7C">
              <w:rPr>
                <w:rFonts w:ascii="Times New Roman" w:hAnsi="Times New Roman"/>
                <w:sz w:val="24"/>
                <w:szCs w:val="24"/>
              </w:rPr>
              <w:t>dụng</w:t>
            </w:r>
            <w:proofErr w:type="spellEnd"/>
          </w:p>
        </w:tc>
      </w:tr>
      <w:tr w:rsidR="00971F5D" w:rsidRPr="00A90AB7" w14:paraId="39E29FC2" w14:textId="77777777" w:rsidTr="00AC29E7">
        <w:tc>
          <w:tcPr>
            <w:tcW w:w="3021" w:type="pct"/>
            <w:shd w:val="clear" w:color="auto" w:fill="auto"/>
            <w:vAlign w:val="center"/>
          </w:tcPr>
          <w:p w14:paraId="684DE998" w14:textId="5013AEE3"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1008" w:type="pct"/>
          </w:tcPr>
          <w:p w14:paraId="69E22308" w14:textId="57CE3B52" w:rsidR="00971F5D" w:rsidRPr="00971F5D" w:rsidRDefault="00971F5D" w:rsidP="00971F5D">
            <w:pPr>
              <w:tabs>
                <w:tab w:val="left" w:pos="540"/>
              </w:tabs>
              <w:spacing w:before="120" w:after="120" w:line="240" w:lineRule="auto"/>
              <w:ind w:left="57" w:right="57"/>
              <w:jc w:val="center"/>
              <w:rPr>
                <w:rFonts w:ascii="Times New Roman" w:hAnsi="Times New Roman"/>
                <w:sz w:val="24"/>
                <w:szCs w:val="24"/>
              </w:rPr>
            </w:pPr>
            <w:r w:rsidRPr="00971F5D">
              <w:rPr>
                <w:rFonts w:ascii="Times New Roman" w:hAnsi="Times New Roman"/>
                <w:sz w:val="24"/>
                <w:szCs w:val="24"/>
              </w:rPr>
              <w:t>-0.41%</w:t>
            </w:r>
          </w:p>
        </w:tc>
        <w:tc>
          <w:tcPr>
            <w:tcW w:w="971" w:type="pct"/>
            <w:shd w:val="clear" w:color="auto" w:fill="auto"/>
          </w:tcPr>
          <w:p w14:paraId="100762D5" w14:textId="0443BAD0" w:rsidR="00971F5D" w:rsidRPr="00E92101" w:rsidRDefault="00971F5D" w:rsidP="00971F5D">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281F7C">
              <w:rPr>
                <w:rFonts w:ascii="Times New Roman" w:hAnsi="Times New Roman"/>
                <w:sz w:val="24"/>
                <w:szCs w:val="24"/>
              </w:rPr>
              <w:t>Không</w:t>
            </w:r>
            <w:proofErr w:type="spellEnd"/>
            <w:r w:rsidRPr="00281F7C">
              <w:rPr>
                <w:rFonts w:ascii="Times New Roman" w:hAnsi="Times New Roman"/>
                <w:sz w:val="24"/>
                <w:szCs w:val="24"/>
              </w:rPr>
              <w:t xml:space="preserve"> </w:t>
            </w:r>
            <w:proofErr w:type="spellStart"/>
            <w:r w:rsidRPr="00281F7C">
              <w:rPr>
                <w:rFonts w:ascii="Times New Roman" w:hAnsi="Times New Roman"/>
                <w:sz w:val="24"/>
                <w:szCs w:val="24"/>
              </w:rPr>
              <w:t>áp</w:t>
            </w:r>
            <w:proofErr w:type="spellEnd"/>
            <w:r w:rsidRPr="00281F7C">
              <w:rPr>
                <w:rFonts w:ascii="Times New Roman" w:hAnsi="Times New Roman"/>
                <w:sz w:val="24"/>
                <w:szCs w:val="24"/>
              </w:rPr>
              <w:t xml:space="preserve"> </w:t>
            </w:r>
            <w:proofErr w:type="spellStart"/>
            <w:r w:rsidRPr="00281F7C">
              <w:rPr>
                <w:rFonts w:ascii="Times New Roman" w:hAnsi="Times New Roman"/>
                <w:sz w:val="24"/>
                <w:szCs w:val="24"/>
              </w:rPr>
              <w:t>dụng</w:t>
            </w:r>
            <w:proofErr w:type="spellEnd"/>
          </w:p>
        </w:tc>
      </w:tr>
      <w:tr w:rsidR="00971F5D" w:rsidRPr="00A90AB7" w14:paraId="5D4A2E39" w14:textId="77777777" w:rsidTr="00AC29E7">
        <w:tc>
          <w:tcPr>
            <w:tcW w:w="3021" w:type="pct"/>
            <w:shd w:val="clear" w:color="auto" w:fill="auto"/>
            <w:vAlign w:val="center"/>
          </w:tcPr>
          <w:p w14:paraId="461797A3" w14:textId="3D25708C"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1008" w:type="pct"/>
          </w:tcPr>
          <w:p w14:paraId="396A5CCF" w14:textId="1DC69687" w:rsidR="00971F5D" w:rsidRPr="00971F5D" w:rsidRDefault="00971F5D" w:rsidP="00971F5D">
            <w:pPr>
              <w:tabs>
                <w:tab w:val="left" w:pos="540"/>
              </w:tabs>
              <w:spacing w:before="120" w:after="120" w:line="240" w:lineRule="auto"/>
              <w:ind w:left="57" w:right="57"/>
              <w:jc w:val="center"/>
              <w:rPr>
                <w:rFonts w:ascii="Times New Roman" w:hAnsi="Times New Roman"/>
                <w:sz w:val="24"/>
                <w:szCs w:val="24"/>
              </w:rPr>
            </w:pPr>
            <w:r w:rsidRPr="00971F5D">
              <w:rPr>
                <w:rFonts w:ascii="Times New Roman" w:hAnsi="Times New Roman"/>
                <w:sz w:val="24"/>
                <w:szCs w:val="24"/>
              </w:rPr>
              <w:t>0.22%</w:t>
            </w:r>
          </w:p>
        </w:tc>
        <w:tc>
          <w:tcPr>
            <w:tcW w:w="971" w:type="pct"/>
            <w:shd w:val="clear" w:color="auto" w:fill="auto"/>
          </w:tcPr>
          <w:p w14:paraId="122130F8" w14:textId="35627336" w:rsidR="00971F5D" w:rsidRPr="00E92101" w:rsidRDefault="00971F5D" w:rsidP="00971F5D">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281F7C">
              <w:rPr>
                <w:rFonts w:ascii="Times New Roman" w:hAnsi="Times New Roman"/>
                <w:sz w:val="24"/>
                <w:szCs w:val="24"/>
              </w:rPr>
              <w:t>Không</w:t>
            </w:r>
            <w:proofErr w:type="spellEnd"/>
            <w:r w:rsidRPr="00281F7C">
              <w:rPr>
                <w:rFonts w:ascii="Times New Roman" w:hAnsi="Times New Roman"/>
                <w:sz w:val="24"/>
                <w:szCs w:val="24"/>
              </w:rPr>
              <w:t xml:space="preserve"> </w:t>
            </w:r>
            <w:proofErr w:type="spellStart"/>
            <w:r w:rsidRPr="00281F7C">
              <w:rPr>
                <w:rFonts w:ascii="Times New Roman" w:hAnsi="Times New Roman"/>
                <w:sz w:val="24"/>
                <w:szCs w:val="24"/>
              </w:rPr>
              <w:t>áp</w:t>
            </w:r>
            <w:proofErr w:type="spellEnd"/>
            <w:r w:rsidRPr="00281F7C">
              <w:rPr>
                <w:rFonts w:ascii="Times New Roman" w:hAnsi="Times New Roman"/>
                <w:sz w:val="24"/>
                <w:szCs w:val="24"/>
              </w:rPr>
              <w:t xml:space="preserve"> </w:t>
            </w:r>
            <w:proofErr w:type="spellStart"/>
            <w:r w:rsidRPr="00281F7C">
              <w:rPr>
                <w:rFonts w:ascii="Times New Roman" w:hAnsi="Times New Roman"/>
                <w:sz w:val="24"/>
                <w:szCs w:val="24"/>
              </w:rPr>
              <w:t>dụng</w:t>
            </w:r>
            <w:proofErr w:type="spellEnd"/>
          </w:p>
        </w:tc>
      </w:tr>
      <w:tr w:rsidR="00971F5D" w:rsidRPr="00A90AB7" w14:paraId="4CC4F0AA" w14:textId="77777777" w:rsidTr="00D57514">
        <w:tc>
          <w:tcPr>
            <w:tcW w:w="3021" w:type="pct"/>
            <w:shd w:val="clear" w:color="auto" w:fill="auto"/>
            <w:vAlign w:val="center"/>
          </w:tcPr>
          <w:p w14:paraId="01DC28A3" w14:textId="77CA96C4"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1008" w:type="pct"/>
          </w:tcPr>
          <w:p w14:paraId="397887F9" w14:textId="604336D1"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67019">
              <w:rPr>
                <w:rFonts w:ascii="Times New Roman" w:hAnsi="Times New Roman"/>
                <w:sz w:val="24"/>
                <w:szCs w:val="24"/>
              </w:rPr>
              <w:t>Không</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áp</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dụng</w:t>
            </w:r>
            <w:proofErr w:type="spellEnd"/>
          </w:p>
        </w:tc>
        <w:tc>
          <w:tcPr>
            <w:tcW w:w="971" w:type="pct"/>
            <w:shd w:val="clear" w:color="auto" w:fill="auto"/>
          </w:tcPr>
          <w:p w14:paraId="760FA637" w14:textId="40773D54"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971F5D" w:rsidRPr="00A90AB7" w14:paraId="6EAB03D4" w14:textId="77777777" w:rsidTr="00591B50">
        <w:tc>
          <w:tcPr>
            <w:tcW w:w="3021" w:type="pct"/>
            <w:shd w:val="clear" w:color="auto" w:fill="auto"/>
            <w:vAlign w:val="center"/>
          </w:tcPr>
          <w:p w14:paraId="3A517776" w14:textId="23B0AE70"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11.</w:t>
            </w:r>
            <w:r>
              <w:t xml:space="preserve"> </w:t>
            </w:r>
            <w:r w:rsidRPr="0099238D">
              <w:rPr>
                <w:rFonts w:ascii="Times New Roman" w:eastAsia="Times New Roman" w:hAnsi="Times New Roman"/>
                <w:sz w:val="24"/>
                <w:szCs w:val="24"/>
                <w:lang w:val="nl-NL"/>
              </w:rPr>
              <w:t>Phân phối ròng trên 1 đơn vị CCQ (VND)</w:t>
            </w:r>
          </w:p>
        </w:tc>
        <w:tc>
          <w:tcPr>
            <w:tcW w:w="1008" w:type="pct"/>
          </w:tcPr>
          <w:p w14:paraId="40D22DB1" w14:textId="0D9AE425"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67019">
              <w:rPr>
                <w:rFonts w:ascii="Times New Roman" w:hAnsi="Times New Roman"/>
                <w:sz w:val="24"/>
                <w:szCs w:val="24"/>
              </w:rPr>
              <w:t>Không</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áp</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dụng</w:t>
            </w:r>
            <w:proofErr w:type="spellEnd"/>
          </w:p>
        </w:tc>
        <w:tc>
          <w:tcPr>
            <w:tcW w:w="971" w:type="pct"/>
            <w:shd w:val="clear" w:color="auto" w:fill="auto"/>
          </w:tcPr>
          <w:p w14:paraId="6260AB34" w14:textId="600527BB"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971F5D" w:rsidRPr="00A90AB7" w14:paraId="484A1706" w14:textId="77777777" w:rsidTr="00591B50">
        <w:tc>
          <w:tcPr>
            <w:tcW w:w="3021" w:type="pct"/>
            <w:shd w:val="clear" w:color="auto" w:fill="auto"/>
            <w:vAlign w:val="center"/>
          </w:tcPr>
          <w:p w14:paraId="31BECECF" w14:textId="49DA9A46"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xml:space="preserve">12.Ngày chốt quyền </w:t>
            </w:r>
          </w:p>
        </w:tc>
        <w:tc>
          <w:tcPr>
            <w:tcW w:w="1008" w:type="pct"/>
          </w:tcPr>
          <w:p w14:paraId="7099F162" w14:textId="0A2F085B" w:rsidR="00971F5D" w:rsidRPr="00E0138A"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67019">
              <w:rPr>
                <w:rFonts w:ascii="Times New Roman" w:hAnsi="Times New Roman"/>
                <w:sz w:val="24"/>
                <w:szCs w:val="24"/>
              </w:rPr>
              <w:t>Không</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áp</w:t>
            </w:r>
            <w:proofErr w:type="spellEnd"/>
            <w:r w:rsidRPr="00E67019">
              <w:rPr>
                <w:rFonts w:ascii="Times New Roman" w:hAnsi="Times New Roman"/>
                <w:sz w:val="24"/>
                <w:szCs w:val="24"/>
              </w:rPr>
              <w:t xml:space="preserve"> </w:t>
            </w:r>
            <w:proofErr w:type="spellStart"/>
            <w:r w:rsidRPr="00E67019">
              <w:rPr>
                <w:rFonts w:ascii="Times New Roman" w:hAnsi="Times New Roman"/>
                <w:sz w:val="24"/>
                <w:szCs w:val="24"/>
              </w:rPr>
              <w:t>dụng</w:t>
            </w:r>
            <w:proofErr w:type="spellEnd"/>
          </w:p>
        </w:tc>
        <w:tc>
          <w:tcPr>
            <w:tcW w:w="971" w:type="pct"/>
            <w:shd w:val="clear" w:color="auto" w:fill="auto"/>
          </w:tcPr>
          <w:p w14:paraId="0010992B" w14:textId="5A2FA356" w:rsidR="00971F5D" w:rsidRPr="00631DA1"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E0138A">
              <w:rPr>
                <w:rFonts w:ascii="Times New Roman" w:hAnsi="Times New Roman"/>
                <w:sz w:val="24"/>
                <w:szCs w:val="24"/>
              </w:rPr>
              <w:t>Không</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áp</w:t>
            </w:r>
            <w:proofErr w:type="spellEnd"/>
            <w:r w:rsidRPr="00E0138A">
              <w:rPr>
                <w:rFonts w:ascii="Times New Roman" w:hAnsi="Times New Roman"/>
                <w:sz w:val="24"/>
                <w:szCs w:val="24"/>
              </w:rPr>
              <w:t xml:space="preserve"> </w:t>
            </w:r>
            <w:proofErr w:type="spellStart"/>
            <w:r w:rsidRPr="00E0138A">
              <w:rPr>
                <w:rFonts w:ascii="Times New Roman" w:hAnsi="Times New Roman"/>
                <w:sz w:val="24"/>
                <w:szCs w:val="24"/>
              </w:rPr>
              <w:t>dụng</w:t>
            </w:r>
            <w:proofErr w:type="spellEnd"/>
          </w:p>
        </w:tc>
      </w:tr>
      <w:tr w:rsidR="00971F5D" w:rsidRPr="00A90AB7" w14:paraId="59EE0EC7" w14:textId="77777777" w:rsidTr="00591B50">
        <w:tc>
          <w:tcPr>
            <w:tcW w:w="3021" w:type="pct"/>
            <w:shd w:val="clear" w:color="auto" w:fill="auto"/>
            <w:vAlign w:val="center"/>
          </w:tcPr>
          <w:p w14:paraId="5D620D01" w14:textId="2511E8E0"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1008" w:type="pct"/>
          </w:tcPr>
          <w:p w14:paraId="6AACCE72" w14:textId="4EAB066F" w:rsidR="00971F5D" w:rsidRPr="00AE0267" w:rsidRDefault="00971F5D" w:rsidP="00971F5D">
            <w:pPr>
              <w:tabs>
                <w:tab w:val="left" w:pos="540"/>
              </w:tabs>
              <w:spacing w:before="120" w:after="120" w:line="240" w:lineRule="auto"/>
              <w:ind w:left="57" w:right="57"/>
              <w:jc w:val="center"/>
              <w:rPr>
                <w:rFonts w:ascii="Times New Roman" w:hAnsi="Times New Roman"/>
                <w:sz w:val="24"/>
                <w:szCs w:val="24"/>
              </w:rPr>
            </w:pPr>
            <w:r w:rsidRPr="00AE0267">
              <w:rPr>
                <w:rFonts w:ascii="Times New Roman" w:hAnsi="Times New Roman"/>
                <w:sz w:val="24"/>
                <w:szCs w:val="24"/>
              </w:rPr>
              <w:t>2.32%</w:t>
            </w:r>
          </w:p>
        </w:tc>
        <w:tc>
          <w:tcPr>
            <w:tcW w:w="971" w:type="pct"/>
            <w:shd w:val="clear" w:color="auto" w:fill="auto"/>
          </w:tcPr>
          <w:p w14:paraId="1599D8AD" w14:textId="6ECF8C86" w:rsidR="00971F5D" w:rsidRPr="00AE0267" w:rsidRDefault="00971F5D" w:rsidP="00971F5D">
            <w:pPr>
              <w:tabs>
                <w:tab w:val="left" w:pos="540"/>
              </w:tabs>
              <w:spacing w:before="120" w:after="120" w:line="240" w:lineRule="auto"/>
              <w:ind w:left="57" w:right="57"/>
              <w:jc w:val="center"/>
              <w:rPr>
                <w:rFonts w:ascii="Times New Roman" w:hAnsi="Times New Roman"/>
                <w:sz w:val="24"/>
                <w:szCs w:val="24"/>
              </w:rPr>
            </w:pPr>
            <w:r w:rsidRPr="00AE0267">
              <w:rPr>
                <w:rFonts w:ascii="Times New Roman" w:hAnsi="Times New Roman"/>
                <w:sz w:val="24"/>
                <w:szCs w:val="24"/>
              </w:rPr>
              <w:t xml:space="preserve"> 2.</w:t>
            </w:r>
            <w:r w:rsidR="00AE0267" w:rsidRPr="00AE0267">
              <w:rPr>
                <w:rFonts w:ascii="Times New Roman" w:hAnsi="Times New Roman"/>
                <w:sz w:val="24"/>
                <w:szCs w:val="24"/>
              </w:rPr>
              <w:t>80%</w:t>
            </w:r>
            <w:r w:rsidRPr="00AE0267">
              <w:rPr>
                <w:rFonts w:ascii="Times New Roman" w:hAnsi="Times New Roman"/>
                <w:sz w:val="24"/>
                <w:szCs w:val="24"/>
              </w:rPr>
              <w:t xml:space="preserve">   </w:t>
            </w:r>
          </w:p>
        </w:tc>
      </w:tr>
      <w:tr w:rsidR="00971F5D" w:rsidRPr="00A90AB7" w14:paraId="5F792137" w14:textId="77777777" w:rsidTr="00591B50">
        <w:tc>
          <w:tcPr>
            <w:tcW w:w="3021" w:type="pct"/>
            <w:shd w:val="clear" w:color="auto" w:fill="auto"/>
            <w:vAlign w:val="center"/>
          </w:tcPr>
          <w:p w14:paraId="1CB9C522" w14:textId="456C8EBB" w:rsidR="00971F5D" w:rsidRPr="00A90AB7"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1008" w:type="pct"/>
          </w:tcPr>
          <w:p w14:paraId="72479156" w14:textId="1ED9AD49" w:rsidR="00971F5D" w:rsidRPr="00AE0267" w:rsidRDefault="00971F5D" w:rsidP="00971F5D">
            <w:pPr>
              <w:tabs>
                <w:tab w:val="left" w:pos="540"/>
              </w:tabs>
              <w:spacing w:before="120" w:after="120" w:line="240" w:lineRule="auto"/>
              <w:ind w:right="57"/>
              <w:jc w:val="center"/>
              <w:rPr>
                <w:rFonts w:ascii="Times New Roman" w:hAnsi="Times New Roman"/>
                <w:sz w:val="24"/>
                <w:szCs w:val="24"/>
              </w:rPr>
            </w:pPr>
            <w:r w:rsidRPr="00AE0267">
              <w:rPr>
                <w:rFonts w:ascii="Times New Roman" w:hAnsi="Times New Roman"/>
                <w:sz w:val="24"/>
                <w:szCs w:val="24"/>
              </w:rPr>
              <w:t xml:space="preserve"> 0.3257 </w:t>
            </w:r>
          </w:p>
        </w:tc>
        <w:tc>
          <w:tcPr>
            <w:tcW w:w="971" w:type="pct"/>
            <w:shd w:val="clear" w:color="auto" w:fill="auto"/>
          </w:tcPr>
          <w:p w14:paraId="1DCC5EDA" w14:textId="76048FA6" w:rsidR="00971F5D" w:rsidRPr="00AE0267" w:rsidRDefault="00971F5D" w:rsidP="00971F5D">
            <w:pPr>
              <w:tabs>
                <w:tab w:val="left" w:pos="540"/>
              </w:tabs>
              <w:spacing w:before="120" w:after="120" w:line="240" w:lineRule="auto"/>
              <w:ind w:right="57"/>
              <w:jc w:val="center"/>
              <w:rPr>
                <w:rFonts w:ascii="Times New Roman" w:hAnsi="Times New Roman"/>
                <w:sz w:val="24"/>
                <w:szCs w:val="24"/>
              </w:rPr>
            </w:pPr>
            <w:r w:rsidRPr="00AE0267">
              <w:rPr>
                <w:rFonts w:ascii="Times New Roman" w:hAnsi="Times New Roman"/>
                <w:sz w:val="24"/>
                <w:szCs w:val="24"/>
              </w:rPr>
              <w:t xml:space="preserve"> -     </w:t>
            </w:r>
          </w:p>
        </w:tc>
      </w:tr>
    </w:tbl>
    <w:p w14:paraId="169AA3BF" w14:textId="67C29C64" w:rsidR="00BE6F63" w:rsidRPr="00676F73" w:rsidRDefault="005858BC" w:rsidP="00315A8E">
      <w:pPr>
        <w:shd w:val="clear" w:color="auto" w:fill="FFFFFF"/>
        <w:tabs>
          <w:tab w:val="left" w:pos="540"/>
        </w:tabs>
        <w:spacing w:before="120" w:after="0" w:line="360" w:lineRule="auto"/>
        <w:jc w:val="both"/>
        <w:rPr>
          <w:rFonts w:ascii="Times New Roman" w:hAnsi="Times New Roman"/>
          <w:sz w:val="24"/>
          <w:szCs w:val="24"/>
          <w:lang w:val="nl-NL"/>
        </w:rPr>
      </w:pPr>
      <w:r w:rsidRPr="00676F73">
        <w:rPr>
          <w:rFonts w:ascii="Times New Roman" w:hAnsi="Times New Roman"/>
          <w:b/>
          <w:sz w:val="24"/>
          <w:szCs w:val="24"/>
          <w:lang w:val="nl-NL"/>
        </w:rPr>
        <w:t>2.</w:t>
      </w:r>
      <w:r w:rsidR="00BE6F63" w:rsidRPr="00676F73">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676F73" w14:paraId="2A501907" w14:textId="77777777" w:rsidTr="00631DA1">
        <w:tc>
          <w:tcPr>
            <w:tcW w:w="2115" w:type="pct"/>
            <w:shd w:val="clear" w:color="auto" w:fill="auto"/>
            <w:vAlign w:val="center"/>
          </w:tcPr>
          <w:p w14:paraId="45889D1E" w14:textId="77777777" w:rsidR="00BE6F63" w:rsidRPr="00676F73" w:rsidRDefault="00BE6F63" w:rsidP="00315A8E">
            <w:pPr>
              <w:tabs>
                <w:tab w:val="left" w:pos="540"/>
              </w:tabs>
              <w:spacing w:after="0" w:line="240" w:lineRule="auto"/>
              <w:jc w:val="center"/>
              <w:rPr>
                <w:rFonts w:ascii="Times New Roman" w:eastAsia="Times New Roman" w:hAnsi="Times New Roman"/>
                <w:b/>
                <w:sz w:val="24"/>
                <w:szCs w:val="24"/>
                <w:lang w:val="nl-NL"/>
              </w:rPr>
            </w:pPr>
            <w:r w:rsidRPr="00676F73">
              <w:rPr>
                <w:rFonts w:ascii="Times New Roman" w:eastAsia="Times New Roman" w:hAnsi="Times New Roman"/>
                <w:b/>
                <w:sz w:val="24"/>
                <w:szCs w:val="24"/>
                <w:lang w:val="nl-NL"/>
              </w:rPr>
              <w:t>Giai đoạn</w:t>
            </w:r>
          </w:p>
        </w:tc>
        <w:tc>
          <w:tcPr>
            <w:tcW w:w="1444" w:type="pct"/>
            <w:shd w:val="clear" w:color="auto" w:fill="auto"/>
            <w:vAlign w:val="center"/>
          </w:tcPr>
          <w:p w14:paraId="250073B9" w14:textId="011E59A1" w:rsidR="00BE6F63" w:rsidRPr="00676F73" w:rsidRDefault="00BE6F63" w:rsidP="00315A8E">
            <w:pPr>
              <w:tabs>
                <w:tab w:val="left" w:pos="540"/>
              </w:tabs>
              <w:spacing w:after="0" w:line="240" w:lineRule="auto"/>
              <w:jc w:val="center"/>
              <w:rPr>
                <w:rFonts w:ascii="Times New Roman" w:eastAsia="Times New Roman" w:hAnsi="Times New Roman"/>
                <w:b/>
                <w:sz w:val="24"/>
                <w:szCs w:val="24"/>
                <w:lang w:val="nl-NL"/>
              </w:rPr>
            </w:pPr>
            <w:r w:rsidRPr="00676F73">
              <w:rPr>
                <w:rFonts w:ascii="Times New Roman" w:eastAsia="Times New Roman" w:hAnsi="Times New Roman"/>
                <w:b/>
                <w:sz w:val="24"/>
                <w:szCs w:val="24"/>
                <w:lang w:val="nl-NL"/>
              </w:rPr>
              <w:t>Tổng tăng trưởng của NAV/CCQ</w:t>
            </w:r>
            <w:r w:rsidR="0099238D" w:rsidRPr="00676F73">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5D9A51CB" w:rsidR="00BE6F63" w:rsidRPr="00676F73" w:rsidRDefault="00BE6F63" w:rsidP="00315A8E">
            <w:pPr>
              <w:tabs>
                <w:tab w:val="left" w:pos="540"/>
              </w:tabs>
              <w:spacing w:after="0" w:line="240" w:lineRule="auto"/>
              <w:jc w:val="center"/>
              <w:rPr>
                <w:rFonts w:ascii="Times New Roman" w:eastAsia="Times New Roman" w:hAnsi="Times New Roman"/>
                <w:b/>
                <w:sz w:val="24"/>
                <w:szCs w:val="24"/>
                <w:lang w:val="nl-NL"/>
              </w:rPr>
            </w:pPr>
            <w:r w:rsidRPr="00676F73">
              <w:rPr>
                <w:rFonts w:ascii="Times New Roman" w:eastAsia="Times New Roman" w:hAnsi="Times New Roman"/>
                <w:b/>
                <w:sz w:val="24"/>
                <w:szCs w:val="24"/>
                <w:lang w:val="nl-NL"/>
              </w:rPr>
              <w:t>Tăng trưởng NAV/CCQ hàng năm</w:t>
            </w:r>
            <w:r w:rsidR="0099238D" w:rsidRPr="00676F73">
              <w:rPr>
                <w:rFonts w:ascii="Times New Roman" w:eastAsia="Times New Roman" w:hAnsi="Times New Roman"/>
                <w:b/>
                <w:sz w:val="24"/>
                <w:szCs w:val="24"/>
                <w:lang w:val="nl-NL"/>
              </w:rPr>
              <w:t xml:space="preserve"> (%)</w:t>
            </w:r>
          </w:p>
        </w:tc>
      </w:tr>
      <w:tr w:rsidR="00AE0267" w:rsidRPr="00676F73" w14:paraId="15A9300F" w14:textId="77777777" w:rsidTr="00AE0267">
        <w:tc>
          <w:tcPr>
            <w:tcW w:w="2115" w:type="pct"/>
            <w:shd w:val="clear" w:color="auto" w:fill="auto"/>
            <w:vAlign w:val="center"/>
          </w:tcPr>
          <w:p w14:paraId="23252578" w14:textId="09CCF753" w:rsidR="00AE0267" w:rsidRPr="00676F73" w:rsidRDefault="00AE0267" w:rsidP="00AE0267">
            <w:pPr>
              <w:tabs>
                <w:tab w:val="left" w:pos="540"/>
              </w:tabs>
              <w:spacing w:before="120" w:after="0" w:line="240" w:lineRule="auto"/>
              <w:jc w:val="both"/>
              <w:rPr>
                <w:rFonts w:ascii="Times New Roman" w:eastAsia="Times New Roman" w:hAnsi="Times New Roman"/>
                <w:sz w:val="24"/>
                <w:szCs w:val="24"/>
                <w:lang w:val="nl-NL"/>
              </w:rPr>
            </w:pPr>
            <w:r w:rsidRPr="00676F73">
              <w:rPr>
                <w:rFonts w:ascii="Times New Roman" w:eastAsia="Times New Roman" w:hAnsi="Times New Roman"/>
                <w:sz w:val="24"/>
                <w:szCs w:val="24"/>
                <w:lang w:val="nl-NL"/>
              </w:rPr>
              <w:t>- 1 năm</w:t>
            </w:r>
          </w:p>
        </w:tc>
        <w:tc>
          <w:tcPr>
            <w:tcW w:w="1444" w:type="pct"/>
            <w:shd w:val="clear" w:color="auto" w:fill="auto"/>
            <w:vAlign w:val="center"/>
          </w:tcPr>
          <w:p w14:paraId="631B2217" w14:textId="7D9EC2B0" w:rsidR="00AE0267" w:rsidRPr="00676F73" w:rsidRDefault="00AE0267" w:rsidP="00AE0267">
            <w:pPr>
              <w:spacing w:after="0" w:line="240" w:lineRule="auto"/>
              <w:jc w:val="center"/>
              <w:rPr>
                <w:rFonts w:ascii="Times New Roman" w:eastAsia="Times New Roman" w:hAnsi="Times New Roman"/>
                <w:sz w:val="24"/>
                <w:szCs w:val="24"/>
                <w:lang w:val="nl-NL"/>
              </w:rPr>
            </w:pPr>
            <w:r w:rsidRPr="00676F73">
              <w:rPr>
                <w:rFonts w:ascii="Times New Roman" w:eastAsia="Times New Roman" w:hAnsi="Times New Roman"/>
                <w:sz w:val="24"/>
                <w:szCs w:val="24"/>
                <w:lang w:val="nl-NL"/>
              </w:rPr>
              <w:t>0.71%</w:t>
            </w:r>
          </w:p>
        </w:tc>
        <w:tc>
          <w:tcPr>
            <w:tcW w:w="1441" w:type="pct"/>
            <w:shd w:val="clear" w:color="auto" w:fill="auto"/>
            <w:vAlign w:val="center"/>
          </w:tcPr>
          <w:p w14:paraId="22F7C0B9" w14:textId="16178F01" w:rsidR="00AE0267" w:rsidRPr="00676F73" w:rsidRDefault="001247A8" w:rsidP="00AE0267">
            <w:pPr>
              <w:tabs>
                <w:tab w:val="left" w:pos="540"/>
              </w:tabs>
              <w:spacing w:before="120" w:after="0" w:line="240" w:lineRule="auto"/>
              <w:jc w:val="center"/>
              <w:rPr>
                <w:rFonts w:ascii="Times New Roman" w:eastAsia="Times New Roman" w:hAnsi="Times New Roman"/>
                <w:sz w:val="24"/>
                <w:szCs w:val="24"/>
                <w:lang w:val="nl-NL"/>
              </w:rPr>
            </w:pPr>
            <w:proofErr w:type="spellStart"/>
            <w:r w:rsidRPr="00676F73">
              <w:rPr>
                <w:rFonts w:ascii="Times New Roman" w:hAnsi="Times New Roman"/>
                <w:sz w:val="24"/>
                <w:szCs w:val="24"/>
              </w:rPr>
              <w:t>Không</w:t>
            </w:r>
            <w:proofErr w:type="spellEnd"/>
            <w:r w:rsidRPr="00676F73">
              <w:rPr>
                <w:rFonts w:ascii="Times New Roman" w:hAnsi="Times New Roman"/>
                <w:sz w:val="24"/>
                <w:szCs w:val="24"/>
              </w:rPr>
              <w:t xml:space="preserve"> </w:t>
            </w:r>
            <w:proofErr w:type="spellStart"/>
            <w:r w:rsidRPr="00676F73">
              <w:rPr>
                <w:rFonts w:ascii="Times New Roman" w:hAnsi="Times New Roman"/>
                <w:sz w:val="24"/>
                <w:szCs w:val="24"/>
              </w:rPr>
              <w:t>áp</w:t>
            </w:r>
            <w:proofErr w:type="spellEnd"/>
            <w:r w:rsidRPr="00676F73">
              <w:rPr>
                <w:rFonts w:ascii="Times New Roman" w:hAnsi="Times New Roman"/>
                <w:sz w:val="24"/>
                <w:szCs w:val="24"/>
              </w:rPr>
              <w:t xml:space="preserve"> </w:t>
            </w:r>
            <w:proofErr w:type="spellStart"/>
            <w:r w:rsidRPr="00676F73">
              <w:rPr>
                <w:rFonts w:ascii="Times New Roman" w:hAnsi="Times New Roman"/>
                <w:sz w:val="24"/>
                <w:szCs w:val="24"/>
              </w:rPr>
              <w:t>dụng</w:t>
            </w:r>
            <w:proofErr w:type="spellEnd"/>
          </w:p>
        </w:tc>
      </w:tr>
      <w:tr w:rsidR="00AE0267" w:rsidRPr="00676F73" w14:paraId="48228CF9" w14:textId="77777777" w:rsidTr="00AE0267">
        <w:tc>
          <w:tcPr>
            <w:tcW w:w="2115" w:type="pct"/>
            <w:shd w:val="clear" w:color="auto" w:fill="auto"/>
            <w:vAlign w:val="center"/>
          </w:tcPr>
          <w:p w14:paraId="1A97EB40" w14:textId="666D87F2" w:rsidR="00AE0267" w:rsidRPr="00676F73" w:rsidRDefault="00AE0267" w:rsidP="00AE0267">
            <w:pPr>
              <w:tabs>
                <w:tab w:val="left" w:pos="540"/>
              </w:tabs>
              <w:spacing w:before="120" w:after="0" w:line="240" w:lineRule="auto"/>
              <w:jc w:val="both"/>
              <w:rPr>
                <w:rFonts w:ascii="Times New Roman" w:eastAsia="Times New Roman" w:hAnsi="Times New Roman"/>
                <w:sz w:val="24"/>
                <w:szCs w:val="24"/>
                <w:lang w:val="nl-NL"/>
              </w:rPr>
            </w:pPr>
            <w:r w:rsidRPr="00676F73">
              <w:rPr>
                <w:rFonts w:ascii="Times New Roman" w:eastAsia="Times New Roman" w:hAnsi="Times New Roman"/>
                <w:sz w:val="24"/>
                <w:szCs w:val="24"/>
                <w:lang w:val="nl-NL"/>
              </w:rPr>
              <w:t>- Từ khi thành lập</w:t>
            </w:r>
          </w:p>
        </w:tc>
        <w:tc>
          <w:tcPr>
            <w:tcW w:w="1444" w:type="pct"/>
            <w:shd w:val="clear" w:color="auto" w:fill="auto"/>
            <w:vAlign w:val="center"/>
          </w:tcPr>
          <w:p w14:paraId="5128A7A1" w14:textId="3D6A1420" w:rsidR="00AE0267" w:rsidRPr="00676F73" w:rsidRDefault="00AE0267" w:rsidP="00AE0267">
            <w:pPr>
              <w:spacing w:after="0" w:line="240" w:lineRule="auto"/>
              <w:jc w:val="center"/>
              <w:rPr>
                <w:rFonts w:ascii="Times New Roman" w:eastAsia="Times New Roman" w:hAnsi="Times New Roman"/>
                <w:sz w:val="24"/>
                <w:szCs w:val="24"/>
                <w:lang w:val="nl-NL"/>
              </w:rPr>
            </w:pPr>
            <w:r w:rsidRPr="00676F73">
              <w:rPr>
                <w:rFonts w:ascii="Times New Roman" w:eastAsia="Times New Roman" w:hAnsi="Times New Roman"/>
                <w:sz w:val="24"/>
                <w:szCs w:val="24"/>
                <w:lang w:val="nl-NL"/>
              </w:rPr>
              <w:t>0.62%</w:t>
            </w:r>
          </w:p>
        </w:tc>
        <w:tc>
          <w:tcPr>
            <w:tcW w:w="1441" w:type="pct"/>
            <w:shd w:val="clear" w:color="auto" w:fill="auto"/>
            <w:vAlign w:val="center"/>
          </w:tcPr>
          <w:p w14:paraId="1FB399DE" w14:textId="0463C849" w:rsidR="00AE0267" w:rsidRPr="00676F73" w:rsidRDefault="00AE0267" w:rsidP="00AE0267">
            <w:pPr>
              <w:tabs>
                <w:tab w:val="left" w:pos="540"/>
              </w:tabs>
              <w:spacing w:before="120" w:after="0" w:line="240" w:lineRule="auto"/>
              <w:jc w:val="center"/>
              <w:rPr>
                <w:rFonts w:ascii="Times New Roman" w:eastAsia="Times New Roman" w:hAnsi="Times New Roman"/>
                <w:sz w:val="24"/>
                <w:szCs w:val="24"/>
                <w:lang w:val="nl-NL"/>
              </w:rPr>
            </w:pPr>
            <w:r w:rsidRPr="00676F73">
              <w:rPr>
                <w:rFonts w:ascii="Times New Roman" w:eastAsia="Times New Roman" w:hAnsi="Times New Roman"/>
                <w:sz w:val="24"/>
                <w:szCs w:val="24"/>
                <w:lang w:val="nl-NL"/>
              </w:rPr>
              <w:t>0.53%</w:t>
            </w:r>
          </w:p>
        </w:tc>
      </w:tr>
    </w:tbl>
    <w:p w14:paraId="2FB699CF" w14:textId="242AE0E6" w:rsidR="00BE6F63" w:rsidRPr="00A90AB7"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76F73">
        <w:rPr>
          <w:rFonts w:ascii="Times New Roman" w:hAnsi="Times New Roman"/>
          <w:b/>
          <w:sz w:val="24"/>
          <w:szCs w:val="24"/>
          <w:lang w:val="nl-NL"/>
        </w:rPr>
        <w:t>2.</w:t>
      </w:r>
      <w:r w:rsidR="00BE6F63" w:rsidRPr="00676F73">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558"/>
        <w:gridCol w:w="3796"/>
      </w:tblGrid>
      <w:tr w:rsidR="00AE0267" w:rsidRPr="00A90AB7" w14:paraId="670C28E9" w14:textId="77777777" w:rsidTr="002F48A2">
        <w:tc>
          <w:tcPr>
            <w:tcW w:w="2115" w:type="pct"/>
            <w:shd w:val="clear" w:color="auto" w:fill="auto"/>
            <w:vAlign w:val="center"/>
          </w:tcPr>
          <w:p w14:paraId="3009D177" w14:textId="38CD4BAF" w:rsidR="00AE0267" w:rsidRPr="00A90AB7" w:rsidRDefault="00AE0267" w:rsidP="002F48A2">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Thời kỳ</w:t>
            </w:r>
          </w:p>
        </w:tc>
        <w:tc>
          <w:tcPr>
            <w:tcW w:w="1444" w:type="pct"/>
            <w:shd w:val="clear" w:color="auto" w:fill="auto"/>
            <w:vAlign w:val="center"/>
          </w:tcPr>
          <w:p w14:paraId="03B58DC3" w14:textId="468A6D8D" w:rsidR="00AE0267" w:rsidRPr="00A90AB7" w:rsidRDefault="00AE0267" w:rsidP="002F48A2">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31/03/2022 (%)</w:t>
            </w:r>
          </w:p>
        </w:tc>
      </w:tr>
      <w:tr w:rsidR="00AE0267" w:rsidRPr="00A6592B" w14:paraId="02A347EB" w14:textId="77777777" w:rsidTr="002F48A2">
        <w:tc>
          <w:tcPr>
            <w:tcW w:w="2115" w:type="pct"/>
            <w:shd w:val="clear" w:color="auto" w:fill="auto"/>
            <w:vAlign w:val="center"/>
          </w:tcPr>
          <w:p w14:paraId="588A5FE4" w14:textId="2BDB96A1" w:rsidR="00AE0267" w:rsidRPr="00A90AB7" w:rsidRDefault="00AE0267" w:rsidP="002F48A2">
            <w:pPr>
              <w:tabs>
                <w:tab w:val="left" w:pos="540"/>
              </w:tabs>
              <w:spacing w:before="120" w:after="0" w:line="240" w:lineRule="auto"/>
              <w:jc w:val="both"/>
              <w:rPr>
                <w:rFonts w:ascii="Times New Roman" w:eastAsia="Times New Roman" w:hAnsi="Times New Roman"/>
                <w:sz w:val="24"/>
                <w:szCs w:val="24"/>
                <w:lang w:val="nl-NL"/>
              </w:rPr>
            </w:pPr>
            <w:r w:rsidRPr="00AE0267">
              <w:rPr>
                <w:rFonts w:ascii="Times New Roman" w:eastAsia="Times New Roman" w:hAnsi="Times New Roman"/>
                <w:sz w:val="24"/>
                <w:szCs w:val="24"/>
                <w:lang w:val="nl-NL"/>
              </w:rPr>
              <w:t>Tỷ lệ tăng trưởng (%)/01 đơn vị CCQ</w:t>
            </w:r>
          </w:p>
        </w:tc>
        <w:tc>
          <w:tcPr>
            <w:tcW w:w="1444" w:type="pct"/>
            <w:shd w:val="clear" w:color="auto" w:fill="auto"/>
            <w:vAlign w:val="center"/>
          </w:tcPr>
          <w:p w14:paraId="4F8D8139" w14:textId="77777777" w:rsidR="00AE0267" w:rsidRPr="00A6592B" w:rsidRDefault="00AE0267" w:rsidP="002F48A2">
            <w:pPr>
              <w:spacing w:after="0" w:line="240" w:lineRule="auto"/>
              <w:jc w:val="center"/>
              <w:rPr>
                <w:rFonts w:ascii="Times New Roman" w:eastAsia="Times New Roman" w:hAnsi="Times New Roman"/>
                <w:sz w:val="24"/>
                <w:szCs w:val="24"/>
                <w:lang w:val="nl-NL"/>
              </w:rPr>
            </w:pPr>
            <w:r w:rsidRPr="00AE0267">
              <w:rPr>
                <w:rFonts w:ascii="Times New Roman" w:eastAsia="Times New Roman" w:hAnsi="Times New Roman"/>
                <w:sz w:val="24"/>
                <w:szCs w:val="24"/>
                <w:lang w:val="nl-NL"/>
              </w:rPr>
              <w:t>0.71%</w:t>
            </w:r>
          </w:p>
        </w:tc>
      </w:tr>
    </w:tbl>
    <w:p w14:paraId="5BB3DC32" w14:textId="77777777" w:rsidR="0099238D" w:rsidRPr="0099238D"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A90AB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6F73">
        <w:rPr>
          <w:rFonts w:ascii="Times New Roman" w:hAnsi="Times New Roman"/>
          <w:b/>
          <w:sz w:val="24"/>
          <w:szCs w:val="24"/>
          <w:lang w:val="nl-NL"/>
        </w:rPr>
        <w:t>3</w:t>
      </w:r>
      <w:r w:rsidR="00BE6F63" w:rsidRPr="00676F73">
        <w:rPr>
          <w:rFonts w:ascii="Times New Roman" w:hAnsi="Times New Roman"/>
          <w:b/>
          <w:sz w:val="24"/>
          <w:szCs w:val="24"/>
          <w:lang w:val="nl-NL"/>
        </w:rPr>
        <w:t>. Mô tả thị trường trong kỳ:</w:t>
      </w:r>
    </w:p>
    <w:p w14:paraId="7C546682" w14:textId="77777777" w:rsidR="000053CD" w:rsidRPr="000053CD" w:rsidRDefault="002E4941" w:rsidP="000053CD">
      <w:pPr>
        <w:shd w:val="clear" w:color="auto" w:fill="FFFFFF"/>
        <w:tabs>
          <w:tab w:val="left" w:pos="540"/>
        </w:tabs>
        <w:spacing w:before="120" w:after="0" w:line="240" w:lineRule="auto"/>
        <w:jc w:val="both"/>
        <w:rPr>
          <w:rFonts w:ascii="Times New Roman" w:hAnsi="Times New Roman"/>
          <w:sz w:val="24"/>
          <w:szCs w:val="24"/>
        </w:rPr>
      </w:pPr>
      <w:r>
        <w:rPr>
          <w:rFonts w:ascii="Times New Roman" w:hAnsi="Times New Roman"/>
          <w:sz w:val="24"/>
          <w:szCs w:val="24"/>
        </w:rPr>
        <w:tab/>
      </w:r>
      <w:proofErr w:type="spellStart"/>
      <w:r w:rsidR="000053CD" w:rsidRPr="000053CD">
        <w:rPr>
          <w:rFonts w:ascii="Times New Roman" w:hAnsi="Times New Roman"/>
          <w:sz w:val="24"/>
          <w:szCs w:val="24"/>
        </w:rPr>
        <w:t>Kinh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tế</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xã</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hội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quý</w:t>
      </w:r>
      <w:proofErr w:type="spellEnd"/>
      <w:r w:rsidR="000053CD" w:rsidRPr="000053CD">
        <w:rPr>
          <w:rFonts w:ascii="Times New Roman" w:hAnsi="Times New Roman"/>
          <w:sz w:val="24"/>
          <w:szCs w:val="24"/>
        </w:rPr>
        <w:t xml:space="preserve"> 1 </w:t>
      </w:r>
      <w:proofErr w:type="spellStart"/>
      <w:r w:rsidR="000053CD" w:rsidRPr="000053CD">
        <w:rPr>
          <w:rFonts w:ascii="Times New Roman" w:hAnsi="Times New Roman"/>
          <w:sz w:val="24"/>
          <w:szCs w:val="24"/>
        </w:rPr>
        <w:t>năm</w:t>
      </w:r>
      <w:proofErr w:type="spellEnd"/>
      <w:r w:rsidR="000053CD" w:rsidRPr="000053CD">
        <w:rPr>
          <w:rFonts w:ascii="Times New Roman" w:hAnsi="Times New Roman"/>
          <w:sz w:val="24"/>
          <w:szCs w:val="24"/>
        </w:rPr>
        <w:t xml:space="preserve"> 2022 </w:t>
      </w:r>
      <w:proofErr w:type="spellStart"/>
      <w:r w:rsidR="000053CD" w:rsidRPr="000053CD">
        <w:rPr>
          <w:rFonts w:ascii="Times New Roman" w:hAnsi="Times New Roman"/>
          <w:sz w:val="24"/>
          <w:szCs w:val="24"/>
        </w:rPr>
        <w:t>diễn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ra</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trong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bối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cảnh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kinh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tế</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thế</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giới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vẫn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duy</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trì</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đà</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hồi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phục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các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hoạt</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động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sản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xuất</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được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đẩy</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mạnh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chuỗi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cung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ứng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toàn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cầu</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dần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được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khơi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thông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Tuy</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nhiên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xung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đột</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giữa</w:t>
      </w:r>
      <w:proofErr w:type="spellEnd"/>
      <w:r w:rsidR="000053CD" w:rsidRPr="000053CD">
        <w:rPr>
          <w:rFonts w:ascii="Times New Roman" w:hAnsi="Times New Roman"/>
          <w:sz w:val="24"/>
          <w:szCs w:val="24"/>
        </w:rPr>
        <w:t xml:space="preserve"> Nga </w:t>
      </w:r>
      <w:proofErr w:type="spellStart"/>
      <w:r w:rsidR="000053CD" w:rsidRPr="000053CD">
        <w:rPr>
          <w:rFonts w:ascii="Times New Roman" w:hAnsi="Times New Roman"/>
          <w:sz w:val="24"/>
          <w:szCs w:val="24"/>
        </w:rPr>
        <w:t>và</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Ukraina</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diễn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ra</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đã</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ảnh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hưởng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nặng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nề</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đến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tăng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trưởng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toàn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cầu</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Giá</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các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loại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hàng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hóa</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trên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thị</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trường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thế</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giới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tăng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cao</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đặc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biệt</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là</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giá</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dầu</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thô</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khí</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đốt</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tự</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nhiên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và</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khí</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tự</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nhiên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hóa</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lỏng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tăng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mạnh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nhất</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kể</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từ</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năm</w:t>
      </w:r>
      <w:proofErr w:type="spellEnd"/>
      <w:r w:rsidR="000053CD" w:rsidRPr="000053CD">
        <w:rPr>
          <w:rFonts w:ascii="Times New Roman" w:hAnsi="Times New Roman"/>
          <w:sz w:val="24"/>
          <w:szCs w:val="24"/>
        </w:rPr>
        <w:t xml:space="preserve"> 2011, </w:t>
      </w:r>
      <w:proofErr w:type="spellStart"/>
      <w:r w:rsidR="000053CD" w:rsidRPr="000053CD">
        <w:rPr>
          <w:rFonts w:ascii="Times New Roman" w:hAnsi="Times New Roman"/>
          <w:sz w:val="24"/>
          <w:szCs w:val="24"/>
        </w:rPr>
        <w:t>tạo</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áp</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lực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lớn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đến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lạm</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phát</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toàn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cầu</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Các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tổ</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chức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quốc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tế</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đều</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giảm</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dự</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báo</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tăng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trưởng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kinh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tế</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toàn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cầu</w:t>
      </w:r>
      <w:proofErr w:type="spellEnd"/>
      <w:r w:rsidR="000053CD" w:rsidRPr="000053CD">
        <w:rPr>
          <w:rFonts w:ascii="Times New Roman" w:hAnsi="Times New Roman"/>
          <w:sz w:val="24"/>
          <w:szCs w:val="24"/>
        </w:rPr>
        <w:t xml:space="preserve"> so </w:t>
      </w:r>
      <w:proofErr w:type="spellStart"/>
      <w:r w:rsidR="000053CD" w:rsidRPr="000053CD">
        <w:rPr>
          <w:rFonts w:ascii="Times New Roman" w:hAnsi="Times New Roman"/>
          <w:sz w:val="24"/>
          <w:szCs w:val="24"/>
        </w:rPr>
        <w:t>với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trước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đó</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Riêng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đối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với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Việt</w:t>
      </w:r>
      <w:proofErr w:type="spellEnd"/>
      <w:r w:rsidR="000053CD" w:rsidRPr="000053CD">
        <w:rPr>
          <w:rFonts w:ascii="Times New Roman" w:hAnsi="Times New Roman"/>
          <w:sz w:val="24"/>
          <w:szCs w:val="24"/>
        </w:rPr>
        <w:t xml:space="preserve"> Nam, World bank </w:t>
      </w:r>
      <w:proofErr w:type="spellStart"/>
      <w:r w:rsidR="000053CD" w:rsidRPr="000053CD">
        <w:rPr>
          <w:rFonts w:ascii="Times New Roman" w:hAnsi="Times New Roman"/>
          <w:sz w:val="24"/>
          <w:szCs w:val="24"/>
        </w:rPr>
        <w:t>đã</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hạ</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dự</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dự</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báo</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tăng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trưởng</w:t>
      </w:r>
      <w:proofErr w:type="spellEnd"/>
      <w:r w:rsidR="000053CD" w:rsidRPr="000053CD">
        <w:rPr>
          <w:rFonts w:ascii="Times New Roman" w:hAnsi="Times New Roman"/>
          <w:sz w:val="24"/>
          <w:szCs w:val="24"/>
        </w:rPr>
        <w:t xml:space="preserve"> GDP </w:t>
      </w:r>
      <w:proofErr w:type="spellStart"/>
      <w:r w:rsidR="000053CD" w:rsidRPr="000053CD">
        <w:rPr>
          <w:rFonts w:ascii="Times New Roman" w:hAnsi="Times New Roman"/>
          <w:sz w:val="24"/>
          <w:szCs w:val="24"/>
        </w:rPr>
        <w:t>từ</w:t>
      </w:r>
      <w:proofErr w:type="spellEnd"/>
      <w:r w:rsidR="000053CD" w:rsidRPr="000053CD">
        <w:rPr>
          <w:rFonts w:ascii="Times New Roman" w:hAnsi="Times New Roman"/>
          <w:sz w:val="24"/>
          <w:szCs w:val="24"/>
        </w:rPr>
        <w:t xml:space="preserve"> 5.5% </w:t>
      </w:r>
      <w:proofErr w:type="spellStart"/>
      <w:r w:rsidR="000053CD" w:rsidRPr="000053CD">
        <w:rPr>
          <w:rFonts w:ascii="Times New Roman" w:hAnsi="Times New Roman"/>
          <w:sz w:val="24"/>
          <w:szCs w:val="24"/>
        </w:rPr>
        <w:t>trong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năm</w:t>
      </w:r>
      <w:proofErr w:type="spellEnd"/>
      <w:r w:rsidR="000053CD" w:rsidRPr="000053CD">
        <w:rPr>
          <w:rFonts w:ascii="Times New Roman" w:hAnsi="Times New Roman"/>
          <w:sz w:val="24"/>
          <w:szCs w:val="24"/>
        </w:rPr>
        <w:t xml:space="preserve"> 2022 </w:t>
      </w:r>
      <w:proofErr w:type="spellStart"/>
      <w:r w:rsidR="000053CD" w:rsidRPr="000053CD">
        <w:rPr>
          <w:rFonts w:ascii="Times New Roman" w:hAnsi="Times New Roman"/>
          <w:sz w:val="24"/>
          <w:szCs w:val="24"/>
        </w:rPr>
        <w:t>xuống</w:t>
      </w:r>
      <w:proofErr w:type="spellEnd"/>
      <w:r w:rsidR="000053CD" w:rsidRPr="000053CD">
        <w:rPr>
          <w:rFonts w:ascii="Times New Roman" w:hAnsi="Times New Roman"/>
          <w:sz w:val="24"/>
          <w:szCs w:val="24"/>
        </w:rPr>
        <w:t xml:space="preserve"> 5.3%. </w:t>
      </w:r>
      <w:proofErr w:type="spellStart"/>
      <w:r w:rsidR="000053CD" w:rsidRPr="000053CD">
        <w:rPr>
          <w:rFonts w:ascii="Times New Roman" w:hAnsi="Times New Roman"/>
          <w:sz w:val="24"/>
          <w:szCs w:val="24"/>
        </w:rPr>
        <w:t>Mặc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dù</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vậy</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kinh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tế</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vĩ</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mô</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của</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Việt</w:t>
      </w:r>
      <w:proofErr w:type="spellEnd"/>
      <w:r w:rsidR="000053CD" w:rsidRPr="000053CD">
        <w:rPr>
          <w:rFonts w:ascii="Times New Roman" w:hAnsi="Times New Roman"/>
          <w:sz w:val="24"/>
          <w:szCs w:val="24"/>
        </w:rPr>
        <w:t xml:space="preserve"> Nam </w:t>
      </w:r>
      <w:proofErr w:type="spellStart"/>
      <w:r w:rsidR="000053CD" w:rsidRPr="000053CD">
        <w:rPr>
          <w:rFonts w:ascii="Times New Roman" w:hAnsi="Times New Roman"/>
          <w:sz w:val="24"/>
          <w:szCs w:val="24"/>
        </w:rPr>
        <w:t>vẫn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được</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đánh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giá</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ổn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định</w:t>
      </w:r>
      <w:proofErr w:type="spellEnd"/>
      <w:r w:rsidR="000053CD" w:rsidRPr="000053CD">
        <w:rPr>
          <w:rFonts w:ascii="Times New Roman" w:hAnsi="Times New Roman"/>
          <w:sz w:val="24"/>
          <w:szCs w:val="24"/>
        </w:rPr>
        <w:t xml:space="preserve">, Fitch Rating </w:t>
      </w:r>
      <w:proofErr w:type="spellStart"/>
      <w:r w:rsidR="000053CD" w:rsidRPr="000053CD">
        <w:rPr>
          <w:rFonts w:ascii="Times New Roman" w:hAnsi="Times New Roman"/>
          <w:sz w:val="24"/>
          <w:szCs w:val="24"/>
        </w:rPr>
        <w:t>trong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kỳ</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đánh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giá</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tháng</w:t>
      </w:r>
      <w:proofErr w:type="spellEnd"/>
      <w:r w:rsidR="000053CD" w:rsidRPr="000053CD">
        <w:rPr>
          <w:rFonts w:ascii="Times New Roman" w:hAnsi="Times New Roman"/>
          <w:sz w:val="24"/>
          <w:szCs w:val="24"/>
        </w:rPr>
        <w:t xml:space="preserve"> 3 </w:t>
      </w:r>
      <w:proofErr w:type="spellStart"/>
      <w:r w:rsidR="000053CD" w:rsidRPr="000053CD">
        <w:rPr>
          <w:rFonts w:ascii="Times New Roman" w:hAnsi="Times New Roman"/>
          <w:sz w:val="24"/>
          <w:szCs w:val="24"/>
        </w:rPr>
        <w:t>năm</w:t>
      </w:r>
      <w:proofErr w:type="spellEnd"/>
      <w:r w:rsidR="000053CD" w:rsidRPr="000053CD">
        <w:rPr>
          <w:rFonts w:ascii="Times New Roman" w:hAnsi="Times New Roman"/>
          <w:sz w:val="24"/>
          <w:szCs w:val="24"/>
        </w:rPr>
        <w:t xml:space="preserve"> 2022 </w:t>
      </w:r>
      <w:proofErr w:type="spellStart"/>
      <w:r w:rsidR="000053CD" w:rsidRPr="000053CD">
        <w:rPr>
          <w:rFonts w:ascii="Times New Roman" w:hAnsi="Times New Roman"/>
          <w:sz w:val="24"/>
          <w:szCs w:val="24"/>
        </w:rPr>
        <w:t>vẫn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đánh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giá</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Việt</w:t>
      </w:r>
      <w:proofErr w:type="spellEnd"/>
      <w:r w:rsidR="000053CD" w:rsidRPr="000053CD">
        <w:rPr>
          <w:rFonts w:ascii="Times New Roman" w:hAnsi="Times New Roman"/>
          <w:sz w:val="24"/>
          <w:szCs w:val="24"/>
        </w:rPr>
        <w:t xml:space="preserve"> Nam ở </w:t>
      </w:r>
      <w:proofErr w:type="spellStart"/>
      <w:r w:rsidR="000053CD" w:rsidRPr="000053CD">
        <w:rPr>
          <w:rFonts w:ascii="Times New Roman" w:hAnsi="Times New Roman"/>
          <w:sz w:val="24"/>
          <w:szCs w:val="24"/>
        </w:rPr>
        <w:t>mức</w:t>
      </w:r>
      <w:proofErr w:type="spellEnd"/>
      <w:r w:rsidR="000053CD" w:rsidRPr="000053CD">
        <w:rPr>
          <w:rFonts w:ascii="Times New Roman" w:hAnsi="Times New Roman"/>
          <w:sz w:val="24"/>
          <w:szCs w:val="24"/>
        </w:rPr>
        <w:t xml:space="preserve"> BB </w:t>
      </w:r>
      <w:proofErr w:type="spellStart"/>
      <w:r w:rsidR="000053CD" w:rsidRPr="000053CD">
        <w:rPr>
          <w:rFonts w:ascii="Times New Roman" w:hAnsi="Times New Roman"/>
          <w:sz w:val="24"/>
          <w:szCs w:val="24"/>
        </w:rPr>
        <w:t>với</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triển</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vọng</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tích</w:t>
      </w:r>
      <w:proofErr w:type="spellEnd"/>
      <w:r w:rsidR="000053CD" w:rsidRPr="000053CD">
        <w:rPr>
          <w:rFonts w:ascii="Times New Roman" w:hAnsi="Times New Roman"/>
          <w:sz w:val="24"/>
          <w:szCs w:val="24"/>
        </w:rPr>
        <w:t xml:space="preserve"> </w:t>
      </w:r>
      <w:proofErr w:type="spellStart"/>
      <w:r w:rsidR="000053CD" w:rsidRPr="000053CD">
        <w:rPr>
          <w:rFonts w:ascii="Times New Roman" w:hAnsi="Times New Roman"/>
          <w:sz w:val="24"/>
          <w:szCs w:val="24"/>
        </w:rPr>
        <w:t>cực</w:t>
      </w:r>
      <w:proofErr w:type="spellEnd"/>
      <w:r w:rsidR="000053CD" w:rsidRPr="000053CD">
        <w:rPr>
          <w:rFonts w:ascii="Times New Roman" w:hAnsi="Times New Roman"/>
          <w:sz w:val="24"/>
          <w:szCs w:val="24"/>
        </w:rPr>
        <w:t xml:space="preserve">. </w:t>
      </w:r>
    </w:p>
    <w:p w14:paraId="4CED71C0" w14:textId="055B38C7" w:rsidR="000053CD" w:rsidRPr="000053CD" w:rsidRDefault="000053CD" w:rsidP="000053CD">
      <w:pPr>
        <w:shd w:val="clear" w:color="auto" w:fill="FFFFFF"/>
        <w:tabs>
          <w:tab w:val="left" w:pos="540"/>
        </w:tabs>
        <w:spacing w:before="120" w:after="0" w:line="240" w:lineRule="auto"/>
        <w:jc w:val="both"/>
        <w:rPr>
          <w:rFonts w:ascii="Times New Roman" w:hAnsi="Times New Roman"/>
          <w:sz w:val="24"/>
          <w:szCs w:val="24"/>
        </w:rPr>
      </w:pPr>
      <w:r>
        <w:rPr>
          <w:rFonts w:ascii="Times New Roman" w:hAnsi="Times New Roman"/>
          <w:sz w:val="24"/>
          <w:szCs w:val="24"/>
        </w:rPr>
        <w:tab/>
      </w:r>
      <w:r w:rsidRPr="000053CD">
        <w:rPr>
          <w:rFonts w:ascii="Times New Roman" w:hAnsi="Times New Roman"/>
          <w:sz w:val="24"/>
          <w:szCs w:val="24"/>
        </w:rPr>
        <w:t xml:space="preserve">Trong </w:t>
      </w:r>
      <w:proofErr w:type="spellStart"/>
      <w:r w:rsidRPr="000053CD">
        <w:rPr>
          <w:rFonts w:ascii="Times New Roman" w:hAnsi="Times New Roman"/>
          <w:sz w:val="24"/>
          <w:szCs w:val="24"/>
        </w:rPr>
        <w:t>nước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Chính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Phủ</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đã</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chỉ</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đạo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mở</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cửa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tế</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sau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dịch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bệnh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quyết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tâm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hồi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triển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tế</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để</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không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nhịp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hồi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tế</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thế</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Chính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phủ</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đã</w:t>
      </w:r>
      <w:proofErr w:type="spellEnd"/>
      <w:r w:rsidRPr="000053CD">
        <w:rPr>
          <w:rFonts w:ascii="Times New Roman" w:hAnsi="Times New Roman"/>
          <w:sz w:val="24"/>
          <w:szCs w:val="24"/>
        </w:rPr>
        <w:t xml:space="preserve"> ban </w:t>
      </w:r>
      <w:proofErr w:type="spellStart"/>
      <w:r w:rsidRPr="000053CD">
        <w:rPr>
          <w:rFonts w:ascii="Times New Roman" w:hAnsi="Times New Roman"/>
          <w:sz w:val="24"/>
          <w:szCs w:val="24"/>
        </w:rPr>
        <w:t>hành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Nghị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quyết</w:t>
      </w:r>
      <w:proofErr w:type="spellEnd"/>
      <w:r w:rsidRPr="000053CD">
        <w:rPr>
          <w:rFonts w:ascii="Times New Roman" w:hAnsi="Times New Roman"/>
          <w:sz w:val="24"/>
          <w:szCs w:val="24"/>
        </w:rPr>
        <w:t xml:space="preserve"> 11/NQ-CP </w:t>
      </w:r>
      <w:proofErr w:type="spellStart"/>
      <w:r w:rsidRPr="000053CD">
        <w:rPr>
          <w:rFonts w:ascii="Times New Roman" w:hAnsi="Times New Roman"/>
          <w:sz w:val="24"/>
          <w:szCs w:val="24"/>
        </w:rPr>
        <w:t>ngày</w:t>
      </w:r>
      <w:proofErr w:type="spellEnd"/>
      <w:r w:rsidRPr="000053CD">
        <w:rPr>
          <w:rFonts w:ascii="Times New Roman" w:hAnsi="Times New Roman"/>
          <w:sz w:val="24"/>
          <w:szCs w:val="24"/>
        </w:rPr>
        <w:t xml:space="preserve"> 30/01/2022 </w:t>
      </w:r>
      <w:proofErr w:type="spellStart"/>
      <w:r w:rsidRPr="000053CD">
        <w:rPr>
          <w:rFonts w:ascii="Times New Roman" w:hAnsi="Times New Roman"/>
          <w:sz w:val="24"/>
          <w:szCs w:val="24"/>
        </w:rPr>
        <w:t>về</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chương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trình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hồi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triển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tế</w:t>
      </w:r>
      <w:proofErr w:type="spellEnd"/>
      <w:r w:rsidRPr="000053CD">
        <w:rPr>
          <w:rFonts w:ascii="Times New Roman" w:hAnsi="Times New Roman"/>
          <w:sz w:val="24"/>
          <w:szCs w:val="24"/>
        </w:rPr>
        <w:t xml:space="preserve"> - </w:t>
      </w:r>
      <w:proofErr w:type="spellStart"/>
      <w:r w:rsidRPr="000053CD">
        <w:rPr>
          <w:rFonts w:ascii="Times New Roman" w:hAnsi="Times New Roman"/>
          <w:sz w:val="24"/>
          <w:szCs w:val="24"/>
        </w:rPr>
        <w:t>xã</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hội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triển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khai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Nghị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quyết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số</w:t>
      </w:r>
      <w:proofErr w:type="spellEnd"/>
      <w:r w:rsidRPr="000053CD">
        <w:rPr>
          <w:rFonts w:ascii="Times New Roman" w:hAnsi="Times New Roman"/>
          <w:sz w:val="24"/>
          <w:szCs w:val="24"/>
        </w:rPr>
        <w:t xml:space="preserve"> 43/2022/QH15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Quốc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hội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về</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chính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sách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tài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khóa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tiền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tệ</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2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2022-2023. </w:t>
      </w:r>
      <w:proofErr w:type="spellStart"/>
      <w:r w:rsidRPr="000053CD">
        <w:rPr>
          <w:rFonts w:ascii="Times New Roman" w:hAnsi="Times New Roman"/>
          <w:sz w:val="24"/>
          <w:szCs w:val="24"/>
        </w:rPr>
        <w:t>Đẩy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mạnh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giải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ngân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tư</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công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các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dự</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án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tầng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trọng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điểm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làm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động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triển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tế</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toàn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xã</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hội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Các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chính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sách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này</w:t>
      </w:r>
      <w:proofErr w:type="spellEnd"/>
      <w:r w:rsidRPr="000053CD">
        <w:rPr>
          <w:rFonts w:ascii="Times New Roman" w:hAnsi="Times New Roman"/>
          <w:sz w:val="24"/>
          <w:szCs w:val="24"/>
        </w:rPr>
        <w:t xml:space="preserve"> ban </w:t>
      </w:r>
      <w:proofErr w:type="spellStart"/>
      <w:r w:rsidRPr="000053CD">
        <w:rPr>
          <w:rFonts w:ascii="Times New Roman" w:hAnsi="Times New Roman"/>
          <w:sz w:val="24"/>
          <w:szCs w:val="24"/>
        </w:rPr>
        <w:t>đầu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được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đánh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đã</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huy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tác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động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hiệu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quả</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tạo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động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khôi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triển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tế</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nhanh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bền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vững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tế</w:t>
      </w:r>
      <w:proofErr w:type="spellEnd"/>
      <w:r w:rsidRPr="000053CD">
        <w:rPr>
          <w:rFonts w:ascii="Times New Roman" w:hAnsi="Times New Roman"/>
          <w:sz w:val="24"/>
          <w:szCs w:val="24"/>
        </w:rPr>
        <w:t xml:space="preserve"> - </w:t>
      </w:r>
      <w:proofErr w:type="spellStart"/>
      <w:r w:rsidRPr="000053CD">
        <w:rPr>
          <w:rFonts w:ascii="Times New Roman" w:hAnsi="Times New Roman"/>
          <w:sz w:val="24"/>
          <w:szCs w:val="24"/>
        </w:rPr>
        <w:t>xã</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hội</w:t>
      </w:r>
      <w:proofErr w:type="spellEnd"/>
      <w:r w:rsidRPr="000053CD">
        <w:rPr>
          <w:rFonts w:ascii="Times New Roman" w:hAnsi="Times New Roman"/>
          <w:sz w:val="24"/>
          <w:szCs w:val="24"/>
        </w:rPr>
        <w:t xml:space="preserve"> 3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2022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nước</w:t>
      </w:r>
      <w:proofErr w:type="spellEnd"/>
      <w:r w:rsidRPr="000053CD">
        <w:rPr>
          <w:rFonts w:ascii="Times New Roman" w:hAnsi="Times New Roman"/>
          <w:sz w:val="24"/>
          <w:szCs w:val="24"/>
        </w:rPr>
        <w:t xml:space="preserve"> ta </w:t>
      </w:r>
      <w:proofErr w:type="spellStart"/>
      <w:r w:rsidRPr="000053CD">
        <w:rPr>
          <w:rFonts w:ascii="Times New Roman" w:hAnsi="Times New Roman"/>
          <w:sz w:val="24"/>
          <w:szCs w:val="24"/>
        </w:rPr>
        <w:t>đã</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được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nhiều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kết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quả</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tích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hết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các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ngành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lĩnh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có</w:t>
      </w:r>
      <w:proofErr w:type="spellEnd"/>
      <w:r w:rsidRPr="000053CD">
        <w:rPr>
          <w:rFonts w:ascii="Times New Roman" w:hAnsi="Times New Roman"/>
          <w:sz w:val="24"/>
          <w:szCs w:val="24"/>
        </w:rPr>
        <w:t xml:space="preserve"> xu </w:t>
      </w:r>
      <w:proofErr w:type="spellStart"/>
      <w:r w:rsidRPr="000053CD">
        <w:rPr>
          <w:rFonts w:ascii="Times New Roman" w:hAnsi="Times New Roman"/>
          <w:sz w:val="24"/>
          <w:szCs w:val="24"/>
        </w:rPr>
        <w:t>hướng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hồi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trưởng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trở</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lại</w:t>
      </w:r>
      <w:proofErr w:type="spellEnd"/>
      <w:r w:rsidRPr="000053CD">
        <w:rPr>
          <w:rFonts w:ascii="Times New Roman" w:hAnsi="Times New Roman"/>
          <w:sz w:val="24"/>
          <w:szCs w:val="24"/>
        </w:rPr>
        <w:t xml:space="preserve">. </w:t>
      </w:r>
    </w:p>
    <w:p w14:paraId="4C31BB93" w14:textId="179DE617" w:rsidR="000053CD" w:rsidRPr="000053CD" w:rsidRDefault="000053CD" w:rsidP="000053CD">
      <w:pPr>
        <w:shd w:val="clear" w:color="auto" w:fill="FFFFFF"/>
        <w:tabs>
          <w:tab w:val="left" w:pos="540"/>
        </w:tabs>
        <w:spacing w:before="120" w:after="0" w:line="240" w:lineRule="auto"/>
        <w:jc w:val="both"/>
        <w:rPr>
          <w:rFonts w:ascii="Times New Roman" w:hAnsi="Times New Roman"/>
          <w:sz w:val="24"/>
          <w:szCs w:val="24"/>
        </w:rPr>
      </w:pPr>
      <w:r>
        <w:rPr>
          <w:rFonts w:ascii="Times New Roman" w:hAnsi="Times New Roman"/>
          <w:sz w:val="24"/>
          <w:szCs w:val="24"/>
        </w:rPr>
        <w:tab/>
      </w:r>
      <w:r w:rsidRPr="000053CD">
        <w:rPr>
          <w:rFonts w:ascii="Times New Roman" w:hAnsi="Times New Roman"/>
          <w:sz w:val="24"/>
          <w:szCs w:val="24"/>
        </w:rPr>
        <w:t xml:space="preserve">Trong </w:t>
      </w:r>
      <w:proofErr w:type="spellStart"/>
      <w:r w:rsidRPr="000053CD">
        <w:rPr>
          <w:rFonts w:ascii="Times New Roman" w:hAnsi="Times New Roman"/>
          <w:sz w:val="24"/>
          <w:szCs w:val="24"/>
        </w:rPr>
        <w:t>bối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cảnh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như</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vậy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tổng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sản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phẩm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nội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địa</w:t>
      </w:r>
      <w:proofErr w:type="spellEnd"/>
      <w:r w:rsidRPr="000053CD">
        <w:rPr>
          <w:rFonts w:ascii="Times New Roman" w:hAnsi="Times New Roman"/>
          <w:sz w:val="24"/>
          <w:szCs w:val="24"/>
        </w:rPr>
        <w:t xml:space="preserve"> (“GDP”) </w:t>
      </w:r>
      <w:proofErr w:type="spellStart"/>
      <w:r w:rsidRPr="000053CD">
        <w:rPr>
          <w:rFonts w:ascii="Times New Roman" w:hAnsi="Times New Roman"/>
          <w:sz w:val="24"/>
          <w:szCs w:val="24"/>
        </w:rPr>
        <w:t>Quý</w:t>
      </w:r>
      <w:proofErr w:type="spellEnd"/>
      <w:r w:rsidRPr="000053CD">
        <w:rPr>
          <w:rFonts w:ascii="Times New Roman" w:hAnsi="Times New Roman"/>
          <w:sz w:val="24"/>
          <w:szCs w:val="24"/>
        </w:rPr>
        <w:t xml:space="preserve"> 1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2022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trưởng</w:t>
      </w:r>
      <w:proofErr w:type="spellEnd"/>
      <w:r w:rsidRPr="000053CD">
        <w:rPr>
          <w:rFonts w:ascii="Times New Roman" w:hAnsi="Times New Roman"/>
          <w:sz w:val="24"/>
          <w:szCs w:val="24"/>
        </w:rPr>
        <w:t xml:space="preserve"> 5.03%,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trưởng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này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cao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hơn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lần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lượt</w:t>
      </w:r>
      <w:proofErr w:type="spellEnd"/>
      <w:r w:rsidRPr="000053CD">
        <w:rPr>
          <w:rFonts w:ascii="Times New Roman" w:hAnsi="Times New Roman"/>
          <w:sz w:val="24"/>
          <w:szCs w:val="24"/>
        </w:rPr>
        <w:t xml:space="preserve"> 3.66%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4.72%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cùng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2020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2021, </w:t>
      </w:r>
      <w:proofErr w:type="spellStart"/>
      <w:r w:rsidRPr="000053CD">
        <w:rPr>
          <w:rFonts w:ascii="Times New Roman" w:hAnsi="Times New Roman"/>
          <w:sz w:val="24"/>
          <w:szCs w:val="24"/>
        </w:rPr>
        <w:t>nhưng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vẫn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thấp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hơn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6.85%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quý</w:t>
      </w:r>
      <w:proofErr w:type="spellEnd"/>
      <w:r w:rsidRPr="000053CD">
        <w:rPr>
          <w:rFonts w:ascii="Times New Roman" w:hAnsi="Times New Roman"/>
          <w:sz w:val="24"/>
          <w:szCs w:val="24"/>
        </w:rPr>
        <w:t xml:space="preserve"> 1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2019. Trong </w:t>
      </w:r>
      <w:proofErr w:type="spellStart"/>
      <w:r w:rsidRPr="000053CD">
        <w:rPr>
          <w:rFonts w:ascii="Times New Roman" w:hAnsi="Times New Roman"/>
          <w:sz w:val="24"/>
          <w:szCs w:val="24"/>
        </w:rPr>
        <w:t>cơ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cấu</w:t>
      </w:r>
      <w:proofErr w:type="spellEnd"/>
      <w:r w:rsidRPr="000053CD">
        <w:rPr>
          <w:rFonts w:ascii="Times New Roman" w:hAnsi="Times New Roman"/>
          <w:sz w:val="24"/>
          <w:szCs w:val="24"/>
        </w:rPr>
        <w:t xml:space="preserve"> GDP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Quý</w:t>
      </w:r>
      <w:proofErr w:type="spellEnd"/>
      <w:r w:rsidRPr="000053CD">
        <w:rPr>
          <w:rFonts w:ascii="Times New Roman" w:hAnsi="Times New Roman"/>
          <w:sz w:val="24"/>
          <w:szCs w:val="24"/>
        </w:rPr>
        <w:t xml:space="preserve"> 1, </w:t>
      </w:r>
      <w:proofErr w:type="spellStart"/>
      <w:r w:rsidRPr="000053CD">
        <w:rPr>
          <w:rFonts w:ascii="Times New Roman" w:hAnsi="Times New Roman"/>
          <w:sz w:val="24"/>
          <w:szCs w:val="24"/>
        </w:rPr>
        <w:t>khu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trưởng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mạnh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công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nghiệp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xây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dựng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trưởng</w:t>
      </w:r>
      <w:proofErr w:type="spellEnd"/>
      <w:r w:rsidRPr="000053CD">
        <w:rPr>
          <w:rFonts w:ascii="Times New Roman" w:hAnsi="Times New Roman"/>
          <w:sz w:val="24"/>
          <w:szCs w:val="24"/>
        </w:rPr>
        <w:t xml:space="preserve"> 6.38%, </w:t>
      </w:r>
      <w:proofErr w:type="spellStart"/>
      <w:r w:rsidRPr="000053CD">
        <w:rPr>
          <w:rFonts w:ascii="Times New Roman" w:hAnsi="Times New Roman"/>
          <w:sz w:val="24"/>
          <w:szCs w:val="24"/>
        </w:rPr>
        <w:t>khu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dịch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vụ</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trưởng</w:t>
      </w:r>
      <w:proofErr w:type="spellEnd"/>
      <w:r w:rsidRPr="000053CD">
        <w:rPr>
          <w:rFonts w:ascii="Times New Roman" w:hAnsi="Times New Roman"/>
          <w:sz w:val="24"/>
          <w:szCs w:val="24"/>
        </w:rPr>
        <w:t xml:space="preserve"> 4.58%, </w:t>
      </w:r>
      <w:proofErr w:type="spellStart"/>
      <w:r w:rsidRPr="000053CD">
        <w:rPr>
          <w:rFonts w:ascii="Times New Roman" w:hAnsi="Times New Roman"/>
          <w:sz w:val="24"/>
          <w:szCs w:val="24"/>
        </w:rPr>
        <w:t>khu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nông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nghiệp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trưởng</w:t>
      </w:r>
      <w:proofErr w:type="spellEnd"/>
      <w:r w:rsidRPr="000053CD">
        <w:rPr>
          <w:rFonts w:ascii="Times New Roman" w:hAnsi="Times New Roman"/>
          <w:sz w:val="24"/>
          <w:szCs w:val="24"/>
        </w:rPr>
        <w:t xml:space="preserve"> 2.45%.  </w:t>
      </w:r>
      <w:proofErr w:type="spellStart"/>
      <w:r w:rsidRPr="000053CD">
        <w:rPr>
          <w:rFonts w:ascii="Times New Roman" w:hAnsi="Times New Roman"/>
          <w:sz w:val="24"/>
          <w:szCs w:val="24"/>
        </w:rPr>
        <w:t>Đối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hoạt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động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ngoại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thương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tổng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ngạch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xuất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nhập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khẩu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hàng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hóa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quý</w:t>
      </w:r>
      <w:proofErr w:type="spellEnd"/>
      <w:r w:rsidRPr="000053CD">
        <w:rPr>
          <w:rFonts w:ascii="Times New Roman" w:hAnsi="Times New Roman"/>
          <w:sz w:val="24"/>
          <w:szCs w:val="24"/>
        </w:rPr>
        <w:t xml:space="preserve"> 1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2022 </w:t>
      </w:r>
      <w:proofErr w:type="spellStart"/>
      <w:r w:rsidRPr="000053CD">
        <w:rPr>
          <w:rFonts w:ascii="Times New Roman" w:hAnsi="Times New Roman"/>
          <w:sz w:val="24"/>
          <w:szCs w:val="24"/>
        </w:rPr>
        <w:t>đạt</w:t>
      </w:r>
      <w:proofErr w:type="spellEnd"/>
      <w:r w:rsidRPr="000053CD">
        <w:rPr>
          <w:rFonts w:ascii="Times New Roman" w:hAnsi="Times New Roman"/>
          <w:sz w:val="24"/>
          <w:szCs w:val="24"/>
        </w:rPr>
        <w:t xml:space="preserve"> 176.4 </w:t>
      </w:r>
      <w:proofErr w:type="spellStart"/>
      <w:r w:rsidRPr="000053CD">
        <w:rPr>
          <w:rFonts w:ascii="Times New Roman" w:hAnsi="Times New Roman"/>
          <w:sz w:val="24"/>
          <w:szCs w:val="24"/>
        </w:rPr>
        <w:t>tỷ</w:t>
      </w:r>
      <w:proofErr w:type="spellEnd"/>
      <w:r w:rsidRPr="000053CD">
        <w:rPr>
          <w:rFonts w:ascii="Times New Roman" w:hAnsi="Times New Roman"/>
          <w:sz w:val="24"/>
          <w:szCs w:val="24"/>
        </w:rPr>
        <w:t xml:space="preserve"> USD,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xuất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khẩu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đạt</w:t>
      </w:r>
      <w:proofErr w:type="spellEnd"/>
      <w:r w:rsidRPr="000053CD">
        <w:rPr>
          <w:rFonts w:ascii="Times New Roman" w:hAnsi="Times New Roman"/>
          <w:sz w:val="24"/>
          <w:szCs w:val="24"/>
        </w:rPr>
        <w:t xml:space="preserve"> 88.6 </w:t>
      </w:r>
      <w:proofErr w:type="spellStart"/>
      <w:r w:rsidRPr="000053CD">
        <w:rPr>
          <w:rFonts w:ascii="Times New Roman" w:hAnsi="Times New Roman"/>
          <w:sz w:val="24"/>
          <w:szCs w:val="24"/>
        </w:rPr>
        <w:t>tỷ</w:t>
      </w:r>
      <w:proofErr w:type="spellEnd"/>
      <w:r w:rsidRPr="000053CD">
        <w:rPr>
          <w:rFonts w:ascii="Times New Roman" w:hAnsi="Times New Roman"/>
          <w:sz w:val="24"/>
          <w:szCs w:val="24"/>
        </w:rPr>
        <w:t xml:space="preserve"> USD,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13%; </w:t>
      </w:r>
      <w:proofErr w:type="spellStart"/>
      <w:r w:rsidRPr="000053CD">
        <w:rPr>
          <w:rFonts w:ascii="Times New Roman" w:hAnsi="Times New Roman"/>
          <w:sz w:val="24"/>
          <w:szCs w:val="24"/>
        </w:rPr>
        <w:t>nhập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khẩu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đạt</w:t>
      </w:r>
      <w:proofErr w:type="spellEnd"/>
      <w:r w:rsidRPr="000053CD">
        <w:rPr>
          <w:rFonts w:ascii="Times New Roman" w:hAnsi="Times New Roman"/>
          <w:sz w:val="24"/>
          <w:szCs w:val="24"/>
        </w:rPr>
        <w:t xml:space="preserve"> 87.8 </w:t>
      </w:r>
      <w:proofErr w:type="spellStart"/>
      <w:r w:rsidRPr="000053CD">
        <w:rPr>
          <w:rFonts w:ascii="Times New Roman" w:hAnsi="Times New Roman"/>
          <w:sz w:val="24"/>
          <w:szCs w:val="24"/>
        </w:rPr>
        <w:t>tỷ</w:t>
      </w:r>
      <w:proofErr w:type="spellEnd"/>
      <w:r w:rsidRPr="000053CD">
        <w:rPr>
          <w:rFonts w:ascii="Times New Roman" w:hAnsi="Times New Roman"/>
          <w:sz w:val="24"/>
          <w:szCs w:val="24"/>
        </w:rPr>
        <w:t xml:space="preserve"> USD,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16%.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tốc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độ</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trưởng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như</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vậy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hoạt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động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ngoại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lastRenderedPageBreak/>
        <w:t>thương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Việt</w:t>
      </w:r>
      <w:proofErr w:type="spellEnd"/>
      <w:r w:rsidRPr="000053CD">
        <w:rPr>
          <w:rFonts w:ascii="Times New Roman" w:hAnsi="Times New Roman"/>
          <w:sz w:val="24"/>
          <w:szCs w:val="24"/>
        </w:rPr>
        <w:t xml:space="preserve"> Nam </w:t>
      </w:r>
      <w:proofErr w:type="spellStart"/>
      <w:r w:rsidRPr="000053CD">
        <w:rPr>
          <w:rFonts w:ascii="Times New Roman" w:hAnsi="Times New Roman"/>
          <w:sz w:val="24"/>
          <w:szCs w:val="24"/>
        </w:rPr>
        <w:t>được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dự</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báo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thể</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kỷ</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lục</w:t>
      </w:r>
      <w:proofErr w:type="spellEnd"/>
      <w:r w:rsidRPr="000053CD">
        <w:rPr>
          <w:rFonts w:ascii="Times New Roman" w:hAnsi="Times New Roman"/>
          <w:sz w:val="24"/>
          <w:szCs w:val="24"/>
        </w:rPr>
        <w:t xml:space="preserve"> 700 </w:t>
      </w:r>
      <w:proofErr w:type="spellStart"/>
      <w:r w:rsidRPr="000053CD">
        <w:rPr>
          <w:rFonts w:ascii="Times New Roman" w:hAnsi="Times New Roman"/>
          <w:sz w:val="24"/>
          <w:szCs w:val="24"/>
        </w:rPr>
        <w:t>tỷ</w:t>
      </w:r>
      <w:proofErr w:type="spellEnd"/>
      <w:r w:rsidRPr="000053CD">
        <w:rPr>
          <w:rFonts w:ascii="Times New Roman" w:hAnsi="Times New Roman"/>
          <w:sz w:val="24"/>
          <w:szCs w:val="24"/>
        </w:rPr>
        <w:t xml:space="preserve"> USD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2022, </w:t>
      </w:r>
      <w:proofErr w:type="spellStart"/>
      <w:r w:rsidRPr="000053CD">
        <w:rPr>
          <w:rFonts w:ascii="Times New Roman" w:hAnsi="Times New Roman"/>
          <w:sz w:val="24"/>
          <w:szCs w:val="24"/>
        </w:rPr>
        <w:t>gấp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đôi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mô</w:t>
      </w:r>
      <w:proofErr w:type="spellEnd"/>
      <w:r w:rsidRPr="000053CD">
        <w:rPr>
          <w:rFonts w:ascii="Times New Roman" w:hAnsi="Times New Roman"/>
          <w:sz w:val="24"/>
          <w:szCs w:val="24"/>
        </w:rPr>
        <w:t xml:space="preserve"> GDP. </w:t>
      </w:r>
      <w:proofErr w:type="spellStart"/>
      <w:r w:rsidRPr="000053CD">
        <w:rPr>
          <w:rFonts w:ascii="Times New Roman" w:hAnsi="Times New Roman"/>
          <w:sz w:val="24"/>
          <w:szCs w:val="24"/>
        </w:rPr>
        <w:t>Chỉ</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số</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quản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mua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hàng</w:t>
      </w:r>
      <w:proofErr w:type="spellEnd"/>
      <w:r w:rsidRPr="000053CD">
        <w:rPr>
          <w:rFonts w:ascii="Times New Roman" w:hAnsi="Times New Roman"/>
          <w:sz w:val="24"/>
          <w:szCs w:val="24"/>
        </w:rPr>
        <w:t xml:space="preserve"> (“PMI”)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03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2022 </w:t>
      </w:r>
      <w:proofErr w:type="spellStart"/>
      <w:r w:rsidRPr="000053CD">
        <w:rPr>
          <w:rFonts w:ascii="Times New Roman" w:hAnsi="Times New Roman"/>
          <w:sz w:val="24"/>
          <w:szCs w:val="24"/>
        </w:rPr>
        <w:t>ghi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nhận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tại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51.7 </w:t>
      </w:r>
      <w:proofErr w:type="spellStart"/>
      <w:r w:rsidRPr="000053CD">
        <w:rPr>
          <w:rFonts w:ascii="Times New Roman" w:hAnsi="Times New Roman"/>
          <w:sz w:val="24"/>
          <w:szCs w:val="24"/>
        </w:rPr>
        <w:t>giảm</w:t>
      </w:r>
      <w:proofErr w:type="spellEnd"/>
      <w:r w:rsidRPr="000053CD">
        <w:rPr>
          <w:rFonts w:ascii="Times New Roman" w:hAnsi="Times New Roman"/>
          <w:sz w:val="24"/>
          <w:szCs w:val="24"/>
        </w:rPr>
        <w:t xml:space="preserve"> so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54.3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2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2022, PMI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3 </w:t>
      </w:r>
      <w:proofErr w:type="spellStart"/>
      <w:r w:rsidRPr="000053CD">
        <w:rPr>
          <w:rFonts w:ascii="Times New Roman" w:hAnsi="Times New Roman"/>
          <w:sz w:val="24"/>
          <w:szCs w:val="24"/>
        </w:rPr>
        <w:t>cho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thấy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mặc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dù</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nhìn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chung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các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điều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kiện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doanh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đang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tốt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lên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nhưng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độ</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cải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thiện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này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ít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kể</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thời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trưởng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kéo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dài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sáu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gần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đây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Tình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hình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hút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vốn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tư</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tiếp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nước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ngoài</w:t>
      </w:r>
      <w:proofErr w:type="spellEnd"/>
      <w:r w:rsidRPr="000053CD">
        <w:rPr>
          <w:rFonts w:ascii="Times New Roman" w:hAnsi="Times New Roman"/>
          <w:sz w:val="24"/>
          <w:szCs w:val="24"/>
        </w:rPr>
        <w:t xml:space="preserve"> (“FDI”) </w:t>
      </w:r>
      <w:proofErr w:type="spellStart"/>
      <w:r w:rsidRPr="000053CD">
        <w:rPr>
          <w:rFonts w:ascii="Times New Roman" w:hAnsi="Times New Roman"/>
          <w:sz w:val="24"/>
          <w:szCs w:val="24"/>
        </w:rPr>
        <w:t>lũy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kế</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quý</w:t>
      </w:r>
      <w:proofErr w:type="spellEnd"/>
      <w:r w:rsidRPr="000053CD">
        <w:rPr>
          <w:rFonts w:ascii="Times New Roman" w:hAnsi="Times New Roman"/>
          <w:sz w:val="24"/>
          <w:szCs w:val="24"/>
        </w:rPr>
        <w:t xml:space="preserve"> 1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tương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đối</w:t>
      </w:r>
      <w:proofErr w:type="spellEnd"/>
      <w:r w:rsidRPr="000053CD">
        <w:rPr>
          <w:rFonts w:ascii="Times New Roman" w:hAnsi="Times New Roman"/>
          <w:sz w:val="24"/>
          <w:szCs w:val="24"/>
        </w:rPr>
        <w:t xml:space="preserve"> ổ </w:t>
      </w:r>
      <w:proofErr w:type="spellStart"/>
      <w:r w:rsidRPr="000053CD">
        <w:rPr>
          <w:rFonts w:ascii="Times New Roman" w:hAnsi="Times New Roman"/>
          <w:sz w:val="24"/>
          <w:szCs w:val="24"/>
        </w:rPr>
        <w:t>định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vốn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giải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ngân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nhẹ</w:t>
      </w:r>
      <w:proofErr w:type="spellEnd"/>
      <w:r w:rsidRPr="000053CD">
        <w:rPr>
          <w:rFonts w:ascii="Times New Roman" w:hAnsi="Times New Roman"/>
          <w:sz w:val="24"/>
          <w:szCs w:val="24"/>
        </w:rPr>
        <w:t xml:space="preserve"> 7.8% </w:t>
      </w:r>
      <w:proofErr w:type="spellStart"/>
      <w:r w:rsidRPr="000053CD">
        <w:rPr>
          <w:rFonts w:ascii="Times New Roman" w:hAnsi="Times New Roman"/>
          <w:sz w:val="24"/>
          <w:szCs w:val="24"/>
        </w:rPr>
        <w:t>đạt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4.4 </w:t>
      </w:r>
      <w:proofErr w:type="spellStart"/>
      <w:r w:rsidRPr="000053CD">
        <w:rPr>
          <w:rFonts w:ascii="Times New Roman" w:hAnsi="Times New Roman"/>
          <w:sz w:val="24"/>
          <w:szCs w:val="24"/>
        </w:rPr>
        <w:t>tỷ</w:t>
      </w:r>
      <w:proofErr w:type="spellEnd"/>
      <w:r w:rsidRPr="000053CD">
        <w:rPr>
          <w:rFonts w:ascii="Times New Roman" w:hAnsi="Times New Roman"/>
          <w:sz w:val="24"/>
          <w:szCs w:val="24"/>
        </w:rPr>
        <w:t xml:space="preserve"> USD,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vốn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ký</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ngược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dòng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giảm</w:t>
      </w:r>
      <w:proofErr w:type="spellEnd"/>
      <w:r w:rsidRPr="000053CD">
        <w:rPr>
          <w:rFonts w:ascii="Times New Roman" w:hAnsi="Times New Roman"/>
          <w:sz w:val="24"/>
          <w:szCs w:val="24"/>
        </w:rPr>
        <w:t xml:space="preserve"> 12% so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cùng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trước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tại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8.9 </w:t>
      </w:r>
      <w:proofErr w:type="spellStart"/>
      <w:r w:rsidRPr="000053CD">
        <w:rPr>
          <w:rFonts w:ascii="Times New Roman" w:hAnsi="Times New Roman"/>
          <w:sz w:val="24"/>
          <w:szCs w:val="24"/>
        </w:rPr>
        <w:t>tỷ</w:t>
      </w:r>
      <w:proofErr w:type="spellEnd"/>
      <w:r w:rsidRPr="000053CD">
        <w:rPr>
          <w:rFonts w:ascii="Times New Roman" w:hAnsi="Times New Roman"/>
          <w:sz w:val="24"/>
          <w:szCs w:val="24"/>
        </w:rPr>
        <w:t xml:space="preserve"> USD. </w:t>
      </w:r>
      <w:proofErr w:type="spellStart"/>
      <w:r w:rsidRPr="000053CD">
        <w:rPr>
          <w:rFonts w:ascii="Times New Roman" w:hAnsi="Times New Roman"/>
          <w:sz w:val="24"/>
          <w:szCs w:val="24"/>
        </w:rPr>
        <w:t>Đối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kiểm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soát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lạm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mặc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dù</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áp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lớn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từ</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thế</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cũng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như</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hàng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hóa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mạnh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quý</w:t>
      </w:r>
      <w:proofErr w:type="spellEnd"/>
      <w:r w:rsidRPr="000053CD">
        <w:rPr>
          <w:rFonts w:ascii="Times New Roman" w:hAnsi="Times New Roman"/>
          <w:sz w:val="24"/>
          <w:szCs w:val="24"/>
        </w:rPr>
        <w:t xml:space="preserve"> 1 </w:t>
      </w:r>
      <w:proofErr w:type="spellStart"/>
      <w:r w:rsidRPr="000053CD">
        <w:rPr>
          <w:rFonts w:ascii="Times New Roman" w:hAnsi="Times New Roman"/>
          <w:sz w:val="24"/>
          <w:szCs w:val="24"/>
        </w:rPr>
        <w:t>nhưng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lạm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đã</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kiểm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soát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tốt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chỉ</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số</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tiêu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dùng</w:t>
      </w:r>
      <w:proofErr w:type="spellEnd"/>
      <w:r w:rsidRPr="000053CD">
        <w:rPr>
          <w:rFonts w:ascii="Times New Roman" w:hAnsi="Times New Roman"/>
          <w:sz w:val="24"/>
          <w:szCs w:val="24"/>
        </w:rPr>
        <w:t xml:space="preserve"> (“CPI”)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3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2022 ở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2.41% so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3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2020, </w:t>
      </w:r>
      <w:proofErr w:type="spellStart"/>
      <w:r w:rsidRPr="000053CD">
        <w:rPr>
          <w:rFonts w:ascii="Times New Roman" w:hAnsi="Times New Roman"/>
          <w:sz w:val="24"/>
          <w:szCs w:val="24"/>
        </w:rPr>
        <w:t>dưới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tiêu</w:t>
      </w:r>
      <w:proofErr w:type="spellEnd"/>
      <w:r w:rsidRPr="000053CD">
        <w:rPr>
          <w:rFonts w:ascii="Times New Roman" w:hAnsi="Times New Roman"/>
          <w:sz w:val="24"/>
          <w:szCs w:val="24"/>
        </w:rPr>
        <w:t xml:space="preserve"> 4%.</w:t>
      </w:r>
    </w:p>
    <w:p w14:paraId="66A2B7CB" w14:textId="33EC4491" w:rsidR="0099238D" w:rsidRDefault="000053CD" w:rsidP="000053CD">
      <w:pPr>
        <w:shd w:val="clear" w:color="auto" w:fill="FFFFFF"/>
        <w:tabs>
          <w:tab w:val="left" w:pos="540"/>
        </w:tabs>
        <w:spacing w:before="120" w:after="0" w:line="240" w:lineRule="auto"/>
        <w:jc w:val="both"/>
        <w:rPr>
          <w:rFonts w:ascii="Times New Roman" w:hAnsi="Times New Roman"/>
          <w:sz w:val="24"/>
          <w:szCs w:val="24"/>
        </w:rPr>
      </w:pPr>
      <w:r w:rsidRPr="000053CD">
        <w:rPr>
          <w:rFonts w:ascii="Times New Roman" w:hAnsi="Times New Roman"/>
          <w:sz w:val="24"/>
          <w:szCs w:val="24"/>
        </w:rPr>
        <w:tab/>
      </w:r>
      <w:proofErr w:type="spellStart"/>
      <w:r w:rsidRPr="000053CD">
        <w:rPr>
          <w:rFonts w:ascii="Times New Roman" w:hAnsi="Times New Roman"/>
          <w:sz w:val="24"/>
          <w:szCs w:val="24"/>
        </w:rPr>
        <w:t>Đối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trường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tiền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tệ</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Quý</w:t>
      </w:r>
      <w:proofErr w:type="spellEnd"/>
      <w:r w:rsidRPr="000053CD">
        <w:rPr>
          <w:rFonts w:ascii="Times New Roman" w:hAnsi="Times New Roman"/>
          <w:sz w:val="24"/>
          <w:szCs w:val="24"/>
        </w:rPr>
        <w:t xml:space="preserve"> 1/2022 </w:t>
      </w:r>
      <w:proofErr w:type="spellStart"/>
      <w:r w:rsidRPr="000053CD">
        <w:rPr>
          <w:rFonts w:ascii="Times New Roman" w:hAnsi="Times New Roman"/>
          <w:sz w:val="24"/>
          <w:szCs w:val="24"/>
        </w:rPr>
        <w:t>chỉ</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số</w:t>
      </w:r>
      <w:proofErr w:type="spellEnd"/>
      <w:r w:rsidRPr="000053CD">
        <w:rPr>
          <w:rFonts w:ascii="Times New Roman" w:hAnsi="Times New Roman"/>
          <w:sz w:val="24"/>
          <w:szCs w:val="24"/>
        </w:rPr>
        <w:t xml:space="preserve"> Dollar Index (DXY) </w:t>
      </w:r>
      <w:proofErr w:type="spellStart"/>
      <w:r w:rsidRPr="000053CD">
        <w:rPr>
          <w:rFonts w:ascii="Times New Roman" w:hAnsi="Times New Roman"/>
          <w:sz w:val="24"/>
          <w:szCs w:val="24"/>
        </w:rPr>
        <w:t>biến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động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mạnh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hai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do </w:t>
      </w:r>
      <w:proofErr w:type="spellStart"/>
      <w:r w:rsidRPr="000053CD">
        <w:rPr>
          <w:rFonts w:ascii="Times New Roman" w:hAnsi="Times New Roman"/>
          <w:sz w:val="24"/>
          <w:szCs w:val="24"/>
        </w:rPr>
        <w:t>thị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trường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chuẩn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bị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việc</w:t>
      </w:r>
      <w:proofErr w:type="spellEnd"/>
      <w:r w:rsidRPr="000053CD">
        <w:rPr>
          <w:rFonts w:ascii="Times New Roman" w:hAnsi="Times New Roman"/>
          <w:sz w:val="24"/>
          <w:szCs w:val="24"/>
        </w:rPr>
        <w:t xml:space="preserve"> FED </w:t>
      </w:r>
      <w:proofErr w:type="spellStart"/>
      <w:r w:rsidRPr="000053CD">
        <w:rPr>
          <w:rFonts w:ascii="Times New Roman" w:hAnsi="Times New Roman"/>
          <w:sz w:val="24"/>
          <w:szCs w:val="24"/>
        </w:rPr>
        <w:t>nâng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lãi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chiến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tranh</w:t>
      </w:r>
      <w:proofErr w:type="spellEnd"/>
      <w:r w:rsidRPr="000053CD">
        <w:rPr>
          <w:rFonts w:ascii="Times New Roman" w:hAnsi="Times New Roman"/>
          <w:sz w:val="24"/>
          <w:szCs w:val="24"/>
        </w:rPr>
        <w:t xml:space="preserve"> Ukraine. </w:t>
      </w:r>
      <w:proofErr w:type="spellStart"/>
      <w:r w:rsidRPr="000053CD">
        <w:rPr>
          <w:rFonts w:ascii="Times New Roman" w:hAnsi="Times New Roman"/>
          <w:sz w:val="24"/>
          <w:szCs w:val="24"/>
        </w:rPr>
        <w:t>Giá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đồng</w:t>
      </w:r>
      <w:proofErr w:type="spellEnd"/>
      <w:r w:rsidRPr="000053CD">
        <w:rPr>
          <w:rFonts w:ascii="Times New Roman" w:hAnsi="Times New Roman"/>
          <w:sz w:val="24"/>
          <w:szCs w:val="24"/>
        </w:rPr>
        <w:t xml:space="preserve"> VNĐ </w:t>
      </w:r>
      <w:proofErr w:type="spellStart"/>
      <w:r w:rsidRPr="000053CD">
        <w:rPr>
          <w:rFonts w:ascii="Times New Roman" w:hAnsi="Times New Roman"/>
          <w:sz w:val="24"/>
          <w:szCs w:val="24"/>
        </w:rPr>
        <w:t>cũng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bị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suy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giảm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3 do FED </w:t>
      </w:r>
      <w:proofErr w:type="spellStart"/>
      <w:r w:rsidRPr="000053CD">
        <w:rPr>
          <w:rFonts w:ascii="Times New Roman" w:hAnsi="Times New Roman"/>
          <w:sz w:val="24"/>
          <w:szCs w:val="24"/>
        </w:rPr>
        <w:t>thắt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chặt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chính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sách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tiền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tệ</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khiến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đồng</w:t>
      </w:r>
      <w:proofErr w:type="spellEnd"/>
      <w:r w:rsidRPr="000053CD">
        <w:rPr>
          <w:rFonts w:ascii="Times New Roman" w:hAnsi="Times New Roman"/>
          <w:sz w:val="24"/>
          <w:szCs w:val="24"/>
        </w:rPr>
        <w:t xml:space="preserve"> VNĐ </w:t>
      </w:r>
      <w:proofErr w:type="spellStart"/>
      <w:r w:rsidRPr="000053CD">
        <w:rPr>
          <w:rFonts w:ascii="Times New Roman" w:hAnsi="Times New Roman"/>
          <w:sz w:val="24"/>
          <w:szCs w:val="24"/>
        </w:rPr>
        <w:t>mất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giá</w:t>
      </w:r>
      <w:proofErr w:type="spellEnd"/>
      <w:r w:rsidRPr="000053CD">
        <w:rPr>
          <w:rFonts w:ascii="Times New Roman" w:hAnsi="Times New Roman"/>
          <w:sz w:val="24"/>
          <w:szCs w:val="24"/>
        </w:rPr>
        <w:t xml:space="preserve"> so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đồng</w:t>
      </w:r>
      <w:proofErr w:type="spellEnd"/>
      <w:r w:rsidRPr="000053CD">
        <w:rPr>
          <w:rFonts w:ascii="Times New Roman" w:hAnsi="Times New Roman"/>
          <w:sz w:val="24"/>
          <w:szCs w:val="24"/>
        </w:rPr>
        <w:t xml:space="preserve"> USD, </w:t>
      </w:r>
      <w:proofErr w:type="spellStart"/>
      <w:r w:rsidRPr="000053CD">
        <w:rPr>
          <w:rFonts w:ascii="Times New Roman" w:hAnsi="Times New Roman"/>
          <w:sz w:val="24"/>
          <w:szCs w:val="24"/>
        </w:rPr>
        <w:t>tuy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nhiên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chúng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tôi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vọng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tỷ</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giá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sẽ</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không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quá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bất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ổn</w:t>
      </w:r>
      <w:proofErr w:type="spellEnd"/>
      <w:r w:rsidRPr="000053CD">
        <w:rPr>
          <w:rFonts w:ascii="Times New Roman" w:hAnsi="Times New Roman"/>
          <w:sz w:val="24"/>
          <w:szCs w:val="24"/>
        </w:rPr>
        <w:t xml:space="preserve"> do </w:t>
      </w:r>
      <w:proofErr w:type="spellStart"/>
      <w:r w:rsidRPr="000053CD">
        <w:rPr>
          <w:rFonts w:ascii="Times New Roman" w:hAnsi="Times New Roman"/>
          <w:sz w:val="24"/>
          <w:szCs w:val="24"/>
        </w:rPr>
        <w:t>lượng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dự</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trữ</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ngoại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hối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Việt</w:t>
      </w:r>
      <w:proofErr w:type="spellEnd"/>
      <w:r w:rsidRPr="000053CD">
        <w:rPr>
          <w:rFonts w:ascii="Times New Roman" w:hAnsi="Times New Roman"/>
          <w:sz w:val="24"/>
          <w:szCs w:val="24"/>
        </w:rPr>
        <w:t xml:space="preserve"> Nam ở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cao</w:t>
      </w:r>
      <w:proofErr w:type="spellEnd"/>
      <w:r w:rsidRPr="000053CD">
        <w:rPr>
          <w:rFonts w:ascii="Times New Roman" w:hAnsi="Times New Roman"/>
          <w:sz w:val="24"/>
          <w:szCs w:val="24"/>
        </w:rPr>
        <w:t xml:space="preserve"> 109 </w:t>
      </w:r>
      <w:proofErr w:type="spellStart"/>
      <w:r w:rsidRPr="000053CD">
        <w:rPr>
          <w:rFonts w:ascii="Times New Roman" w:hAnsi="Times New Roman"/>
          <w:sz w:val="24"/>
          <w:szCs w:val="24"/>
        </w:rPr>
        <w:t>tỷ</w:t>
      </w:r>
      <w:proofErr w:type="spellEnd"/>
      <w:r w:rsidRPr="000053CD">
        <w:rPr>
          <w:rFonts w:ascii="Times New Roman" w:hAnsi="Times New Roman"/>
          <w:sz w:val="24"/>
          <w:szCs w:val="24"/>
        </w:rPr>
        <w:t xml:space="preserve"> USD,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Việt</w:t>
      </w:r>
      <w:proofErr w:type="spellEnd"/>
      <w:r w:rsidRPr="000053CD">
        <w:rPr>
          <w:rFonts w:ascii="Times New Roman" w:hAnsi="Times New Roman"/>
          <w:sz w:val="24"/>
          <w:szCs w:val="24"/>
        </w:rPr>
        <w:t xml:space="preserve"> Nam </w:t>
      </w:r>
      <w:proofErr w:type="spellStart"/>
      <w:r w:rsidRPr="000053CD">
        <w:rPr>
          <w:rFonts w:ascii="Times New Roman" w:hAnsi="Times New Roman"/>
          <w:sz w:val="24"/>
          <w:szCs w:val="24"/>
        </w:rPr>
        <w:t>tiếp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xuất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siêu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trong</w:t>
      </w:r>
      <w:proofErr w:type="spellEnd"/>
      <w:r w:rsidRPr="000053CD">
        <w:rPr>
          <w:rFonts w:ascii="Times New Roman" w:hAnsi="Times New Roman"/>
          <w:sz w:val="24"/>
          <w:szCs w:val="24"/>
        </w:rPr>
        <w:t xml:space="preserve"> 3 </w:t>
      </w:r>
      <w:proofErr w:type="spellStart"/>
      <w:r w:rsidRPr="000053CD">
        <w:rPr>
          <w:rFonts w:ascii="Times New Roman" w:hAnsi="Times New Roman"/>
          <w:sz w:val="24"/>
          <w:szCs w:val="24"/>
        </w:rPr>
        <w:t>tháng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2022. </w:t>
      </w:r>
      <w:proofErr w:type="spellStart"/>
      <w:r w:rsidRPr="000053CD">
        <w:rPr>
          <w:rFonts w:ascii="Times New Roman" w:hAnsi="Times New Roman"/>
          <w:sz w:val="24"/>
          <w:szCs w:val="24"/>
        </w:rPr>
        <w:t>Lãi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liên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ngân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hàng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tiếp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duy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trì</w:t>
      </w:r>
      <w:proofErr w:type="spellEnd"/>
      <w:r w:rsidRPr="000053CD">
        <w:rPr>
          <w:rFonts w:ascii="Times New Roman" w:hAnsi="Times New Roman"/>
          <w:sz w:val="24"/>
          <w:szCs w:val="24"/>
        </w:rPr>
        <w:t xml:space="preserve"> ở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cao</w:t>
      </w:r>
      <w:proofErr w:type="spellEnd"/>
      <w:r w:rsidRPr="000053CD">
        <w:rPr>
          <w:rFonts w:ascii="Times New Roman" w:hAnsi="Times New Roman"/>
          <w:sz w:val="24"/>
          <w:szCs w:val="24"/>
        </w:rPr>
        <w:t xml:space="preserve">, do </w:t>
      </w:r>
      <w:proofErr w:type="spellStart"/>
      <w:r w:rsidRPr="000053CD">
        <w:rPr>
          <w:rFonts w:ascii="Times New Roman" w:hAnsi="Times New Roman"/>
          <w:sz w:val="24"/>
          <w:szCs w:val="24"/>
        </w:rPr>
        <w:t>thanh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khoản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trên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trường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liên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ngân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hàng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không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còn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dư</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thừa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nhiều</w:t>
      </w:r>
      <w:proofErr w:type="spellEnd"/>
      <w:r w:rsidRPr="000053CD">
        <w:rPr>
          <w:rFonts w:ascii="Times New Roman" w:hAnsi="Times New Roman"/>
          <w:sz w:val="24"/>
          <w:szCs w:val="24"/>
        </w:rPr>
        <w:t xml:space="preserve"> so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đầu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năm</w:t>
      </w:r>
      <w:proofErr w:type="spellEnd"/>
      <w:r w:rsidRPr="000053CD">
        <w:rPr>
          <w:rFonts w:ascii="Times New Roman" w:hAnsi="Times New Roman"/>
          <w:sz w:val="24"/>
          <w:szCs w:val="24"/>
        </w:rPr>
        <w:t xml:space="preserve"> 2021, </w:t>
      </w:r>
      <w:proofErr w:type="spellStart"/>
      <w:r w:rsidRPr="000053CD">
        <w:rPr>
          <w:rFonts w:ascii="Times New Roman" w:hAnsi="Times New Roman"/>
          <w:sz w:val="24"/>
          <w:szCs w:val="24"/>
        </w:rPr>
        <w:t>tín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dụng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ngân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hàng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cũng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trưởng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khá</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4.03% YTD </w:t>
      </w:r>
      <w:proofErr w:type="spellStart"/>
      <w:r w:rsidRPr="000053CD">
        <w:rPr>
          <w:rFonts w:ascii="Times New Roman" w:hAnsi="Times New Roman"/>
          <w:sz w:val="24"/>
          <w:szCs w:val="24"/>
        </w:rPr>
        <w:t>tính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tới</w:t>
      </w:r>
      <w:proofErr w:type="spellEnd"/>
      <w:r w:rsidRPr="000053CD">
        <w:rPr>
          <w:rFonts w:ascii="Times New Roman" w:hAnsi="Times New Roman"/>
          <w:sz w:val="24"/>
          <w:szCs w:val="24"/>
        </w:rPr>
        <w:t xml:space="preserve"> 21/3/2022. </w:t>
      </w:r>
      <w:proofErr w:type="spellStart"/>
      <w:r w:rsidRPr="000053CD">
        <w:rPr>
          <w:rFonts w:ascii="Times New Roman" w:hAnsi="Times New Roman"/>
          <w:sz w:val="24"/>
          <w:szCs w:val="24"/>
        </w:rPr>
        <w:t>Dưới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áp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lực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lạm</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phát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và</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thanh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khoản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của</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thị</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trường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vẫn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duy</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trì</w:t>
      </w:r>
      <w:proofErr w:type="spellEnd"/>
      <w:r w:rsidRPr="000053CD">
        <w:rPr>
          <w:rFonts w:ascii="Times New Roman" w:hAnsi="Times New Roman"/>
          <w:sz w:val="24"/>
          <w:szCs w:val="24"/>
        </w:rPr>
        <w:t xml:space="preserve"> ở </w:t>
      </w:r>
      <w:proofErr w:type="spellStart"/>
      <w:r w:rsidRPr="000053CD">
        <w:rPr>
          <w:rFonts w:ascii="Times New Roman" w:hAnsi="Times New Roman"/>
          <w:sz w:val="24"/>
          <w:szCs w:val="24"/>
        </w:rPr>
        <w:t>mức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tương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đối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cao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lợi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trái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phiếu</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tiếp</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tục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mạnh</w:t>
      </w:r>
      <w:proofErr w:type="spellEnd"/>
      <w:r w:rsidRPr="000053CD">
        <w:rPr>
          <w:rFonts w:ascii="Times New Roman" w:hAnsi="Times New Roman"/>
          <w:sz w:val="24"/>
          <w:szCs w:val="24"/>
        </w:rPr>
        <w:t xml:space="preserve"> ở </w:t>
      </w:r>
      <w:proofErr w:type="spellStart"/>
      <w:r w:rsidRPr="000053CD">
        <w:rPr>
          <w:rFonts w:ascii="Times New Roman" w:hAnsi="Times New Roman"/>
          <w:sz w:val="24"/>
          <w:szCs w:val="24"/>
        </w:rPr>
        <w:t>tất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cả</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các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hạn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đặc</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biệt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hạn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ngắn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tăng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nhanh</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hơn</w:t>
      </w:r>
      <w:proofErr w:type="spellEnd"/>
      <w:r w:rsidRPr="000053CD">
        <w:rPr>
          <w:rFonts w:ascii="Times New Roman" w:hAnsi="Times New Roman"/>
          <w:sz w:val="24"/>
          <w:szCs w:val="24"/>
        </w:rPr>
        <w:t xml:space="preserve"> so </w:t>
      </w:r>
      <w:proofErr w:type="spellStart"/>
      <w:r w:rsidRPr="000053CD">
        <w:rPr>
          <w:rFonts w:ascii="Times New Roman" w:hAnsi="Times New Roman"/>
          <w:sz w:val="24"/>
          <w:szCs w:val="24"/>
        </w:rPr>
        <w:t>với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kỳ</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hạn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dài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khiến</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cho</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đường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cong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lợi</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suất</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phẳng</w:t>
      </w:r>
      <w:proofErr w:type="spellEnd"/>
      <w:r w:rsidRPr="000053CD">
        <w:rPr>
          <w:rFonts w:ascii="Times New Roman" w:hAnsi="Times New Roman"/>
          <w:sz w:val="24"/>
          <w:szCs w:val="24"/>
        </w:rPr>
        <w:t xml:space="preserve"> </w:t>
      </w:r>
      <w:proofErr w:type="spellStart"/>
      <w:r w:rsidRPr="000053CD">
        <w:rPr>
          <w:rFonts w:ascii="Times New Roman" w:hAnsi="Times New Roman"/>
          <w:sz w:val="24"/>
          <w:szCs w:val="24"/>
        </w:rPr>
        <w:t>hơn</w:t>
      </w:r>
      <w:proofErr w:type="spellEnd"/>
      <w:r w:rsidRPr="000053CD">
        <w:rPr>
          <w:rFonts w:ascii="Times New Roman" w:hAnsi="Times New Roman"/>
          <w:sz w:val="24"/>
          <w:szCs w:val="24"/>
        </w:rPr>
        <w:t>.</w:t>
      </w:r>
    </w:p>
    <w:p w14:paraId="0A0F3B1B" w14:textId="77777777" w:rsidR="000053CD" w:rsidRPr="00A90AB7" w:rsidRDefault="000053CD" w:rsidP="000053CD">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42F0181F" w:rsidR="00BE6F63" w:rsidRPr="00A90AB7" w:rsidRDefault="005858BC"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76F73">
        <w:rPr>
          <w:rFonts w:ascii="Times New Roman" w:hAnsi="Times New Roman"/>
          <w:b/>
          <w:sz w:val="24"/>
          <w:szCs w:val="24"/>
          <w:lang w:val="nl-NL"/>
        </w:rPr>
        <w:t>4.1. Số liệu chi tiết hoạt động của Quỹ</w:t>
      </w:r>
    </w:p>
    <w:tbl>
      <w:tblPr>
        <w:tblW w:w="9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6"/>
        <w:gridCol w:w="2882"/>
        <w:gridCol w:w="2880"/>
      </w:tblGrid>
      <w:tr w:rsidR="000F33CC" w:rsidRPr="00A90AB7" w14:paraId="469C209E" w14:textId="5114FA5E" w:rsidTr="000F33CC">
        <w:tc>
          <w:tcPr>
            <w:tcW w:w="1951" w:type="pct"/>
            <w:shd w:val="clear" w:color="auto" w:fill="auto"/>
            <w:vAlign w:val="center"/>
          </w:tcPr>
          <w:p w14:paraId="2FFDC4B1" w14:textId="77777777" w:rsidR="000F33CC" w:rsidRPr="00A90AB7" w:rsidRDefault="000F33CC" w:rsidP="000F33CC">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525" w:type="pct"/>
            <w:shd w:val="clear" w:color="auto" w:fill="auto"/>
            <w:vAlign w:val="center"/>
          </w:tcPr>
          <w:p w14:paraId="1B91E21D" w14:textId="060621B1" w:rsidR="000F33CC" w:rsidRPr="00A90AB7" w:rsidRDefault="000F33CC" w:rsidP="000F33CC">
            <w:pPr>
              <w:tabs>
                <w:tab w:val="left" w:pos="540"/>
              </w:tabs>
              <w:spacing w:after="0" w:line="240" w:lineRule="auto"/>
              <w:jc w:val="center"/>
              <w:rPr>
                <w:rFonts w:ascii="Times New Roman" w:eastAsia="Times New Roman" w:hAnsi="Times New Roman"/>
                <w:b/>
                <w:sz w:val="24"/>
                <w:szCs w:val="24"/>
                <w:lang w:val="nl-NL"/>
              </w:rPr>
            </w:pPr>
            <w:r w:rsidRPr="000F33CC">
              <w:rPr>
                <w:rFonts w:ascii="Times New Roman" w:eastAsia="Times New Roman" w:hAnsi="Times New Roman"/>
                <w:b/>
                <w:sz w:val="24"/>
                <w:szCs w:val="24"/>
                <w:lang w:val="nl-NL"/>
              </w:rPr>
              <w:t xml:space="preserve">1 năm đến thời điểm báo cáo </w:t>
            </w:r>
            <w:r w:rsidRPr="00A90AB7">
              <w:rPr>
                <w:rFonts w:ascii="Times New Roman" w:eastAsia="Times New Roman" w:hAnsi="Times New Roman"/>
                <w:b/>
                <w:sz w:val="24"/>
                <w:szCs w:val="24"/>
                <w:lang w:val="nl-NL"/>
              </w:rPr>
              <w:t>(%)</w:t>
            </w:r>
          </w:p>
        </w:tc>
        <w:tc>
          <w:tcPr>
            <w:tcW w:w="1524" w:type="pct"/>
            <w:vAlign w:val="center"/>
          </w:tcPr>
          <w:p w14:paraId="37CB0ABA" w14:textId="34AA9AC9" w:rsidR="000F33CC" w:rsidRPr="00A90AB7" w:rsidRDefault="000F33CC" w:rsidP="000F33CC">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0F33CC" w:rsidRPr="00A90AB7" w14:paraId="013F1FB5" w14:textId="22EF7103" w:rsidTr="000F33CC">
        <w:tc>
          <w:tcPr>
            <w:tcW w:w="1951" w:type="pct"/>
            <w:shd w:val="clear" w:color="auto" w:fill="auto"/>
            <w:vAlign w:val="center"/>
          </w:tcPr>
          <w:p w14:paraId="6740DD82" w14:textId="77777777" w:rsidR="000F33CC" w:rsidRPr="00A90AB7"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525" w:type="pct"/>
            <w:shd w:val="clear" w:color="auto" w:fill="auto"/>
          </w:tcPr>
          <w:p w14:paraId="5BF92CF8" w14:textId="482CCD6B" w:rsidR="000F33CC" w:rsidRPr="00A90AB7"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0F33CC">
              <w:rPr>
                <w:rFonts w:ascii="Times New Roman" w:eastAsia="Times New Roman" w:hAnsi="Times New Roman"/>
                <w:sz w:val="24"/>
                <w:szCs w:val="24"/>
                <w:lang w:val="nl-NL"/>
              </w:rPr>
              <w:t>0.41%</w:t>
            </w:r>
          </w:p>
        </w:tc>
        <w:tc>
          <w:tcPr>
            <w:tcW w:w="1524" w:type="pct"/>
          </w:tcPr>
          <w:p w14:paraId="2C6A5C81" w14:textId="68DF4774" w:rsidR="000F33CC" w:rsidRPr="000F33CC"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0F33CC">
              <w:rPr>
                <w:rFonts w:ascii="Times New Roman" w:eastAsia="Times New Roman" w:hAnsi="Times New Roman"/>
                <w:sz w:val="24"/>
                <w:szCs w:val="24"/>
                <w:lang w:val="nl-NL"/>
              </w:rPr>
              <w:t>0.28%</w:t>
            </w:r>
          </w:p>
        </w:tc>
      </w:tr>
      <w:tr w:rsidR="000F33CC" w:rsidRPr="00A90AB7" w14:paraId="1A1556A7" w14:textId="66A68B96" w:rsidTr="000F33CC">
        <w:tc>
          <w:tcPr>
            <w:tcW w:w="1951" w:type="pct"/>
            <w:shd w:val="clear" w:color="auto" w:fill="auto"/>
            <w:vAlign w:val="center"/>
          </w:tcPr>
          <w:p w14:paraId="6DB00EA9" w14:textId="77777777" w:rsidR="000F33CC" w:rsidRPr="00A90AB7"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525" w:type="pct"/>
            <w:shd w:val="clear" w:color="auto" w:fill="auto"/>
          </w:tcPr>
          <w:p w14:paraId="573EAA3A" w14:textId="79D14D19" w:rsidR="000F33CC" w:rsidRPr="00A90AB7"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0F33CC">
              <w:rPr>
                <w:rFonts w:ascii="Times New Roman" w:eastAsia="Times New Roman" w:hAnsi="Times New Roman"/>
                <w:sz w:val="24"/>
                <w:szCs w:val="24"/>
                <w:lang w:val="nl-NL"/>
              </w:rPr>
              <w:t>-0.24%</w:t>
            </w:r>
          </w:p>
        </w:tc>
        <w:tc>
          <w:tcPr>
            <w:tcW w:w="1524" w:type="pct"/>
          </w:tcPr>
          <w:p w14:paraId="421E4AF9" w14:textId="1C361F80" w:rsidR="000F33CC" w:rsidRPr="000F33CC"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0F33CC">
              <w:rPr>
                <w:rFonts w:ascii="Times New Roman" w:eastAsia="Times New Roman" w:hAnsi="Times New Roman"/>
                <w:sz w:val="24"/>
                <w:szCs w:val="24"/>
                <w:lang w:val="nl-NL"/>
              </w:rPr>
              <w:t>-0.17%</w:t>
            </w:r>
          </w:p>
        </w:tc>
      </w:tr>
      <w:tr w:rsidR="000F33CC" w:rsidRPr="00A90AB7" w14:paraId="5AE0FE5D" w14:textId="7AE85198" w:rsidTr="000F33CC">
        <w:tc>
          <w:tcPr>
            <w:tcW w:w="1951" w:type="pct"/>
            <w:shd w:val="clear" w:color="auto" w:fill="auto"/>
            <w:vAlign w:val="center"/>
          </w:tcPr>
          <w:p w14:paraId="3FAA0781" w14:textId="77777777" w:rsidR="000F33CC" w:rsidRPr="00A90AB7"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525" w:type="pct"/>
            <w:shd w:val="clear" w:color="auto" w:fill="auto"/>
          </w:tcPr>
          <w:p w14:paraId="44F7360A" w14:textId="6D87A001" w:rsidR="000F33CC" w:rsidRPr="00A90AB7"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0F33CC">
              <w:rPr>
                <w:rFonts w:ascii="Times New Roman" w:eastAsia="Times New Roman" w:hAnsi="Times New Roman"/>
                <w:sz w:val="24"/>
                <w:szCs w:val="24"/>
                <w:lang w:val="nl-NL"/>
              </w:rPr>
              <w:t>0.71%</w:t>
            </w:r>
          </w:p>
        </w:tc>
        <w:tc>
          <w:tcPr>
            <w:tcW w:w="1524" w:type="pct"/>
          </w:tcPr>
          <w:p w14:paraId="6BACA922" w14:textId="71069487" w:rsidR="000F33CC" w:rsidRPr="000F33CC"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0F33CC">
              <w:rPr>
                <w:rFonts w:ascii="Times New Roman" w:eastAsia="Times New Roman" w:hAnsi="Times New Roman"/>
                <w:sz w:val="24"/>
                <w:szCs w:val="24"/>
                <w:lang w:val="nl-NL"/>
              </w:rPr>
              <w:t>0.62%</w:t>
            </w:r>
          </w:p>
        </w:tc>
      </w:tr>
      <w:tr w:rsidR="000F33CC" w:rsidRPr="00A90AB7" w14:paraId="275BF76B" w14:textId="3A92DCB4" w:rsidTr="000F33CC">
        <w:tc>
          <w:tcPr>
            <w:tcW w:w="1951" w:type="pct"/>
            <w:shd w:val="clear" w:color="auto" w:fill="auto"/>
            <w:vAlign w:val="center"/>
          </w:tcPr>
          <w:p w14:paraId="048B22BC" w14:textId="77777777" w:rsidR="000F33CC" w:rsidRPr="00A90AB7"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525" w:type="pct"/>
            <w:shd w:val="clear" w:color="auto" w:fill="auto"/>
          </w:tcPr>
          <w:p w14:paraId="3AFD6D6E" w14:textId="62CDFE8F" w:rsidR="000F33CC" w:rsidRPr="00A90AB7"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0F33CC">
              <w:rPr>
                <w:rFonts w:ascii="Times New Roman" w:eastAsia="Times New Roman" w:hAnsi="Times New Roman"/>
                <w:sz w:val="24"/>
                <w:szCs w:val="24"/>
                <w:lang w:val="nl-NL"/>
              </w:rPr>
              <w:t>0.71%</w:t>
            </w:r>
          </w:p>
        </w:tc>
        <w:tc>
          <w:tcPr>
            <w:tcW w:w="1524" w:type="pct"/>
          </w:tcPr>
          <w:p w14:paraId="361F95DC" w14:textId="692B1349" w:rsidR="000F33CC" w:rsidRPr="000F33CC"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0F33CC">
              <w:rPr>
                <w:rFonts w:ascii="Times New Roman" w:eastAsia="Times New Roman" w:hAnsi="Times New Roman"/>
                <w:sz w:val="24"/>
                <w:szCs w:val="24"/>
                <w:lang w:val="nl-NL"/>
              </w:rPr>
              <w:t>0.53%</w:t>
            </w:r>
          </w:p>
        </w:tc>
      </w:tr>
      <w:tr w:rsidR="000F33CC" w:rsidRPr="00A90AB7" w14:paraId="331CA308" w14:textId="714C1893" w:rsidTr="000F33CC">
        <w:tc>
          <w:tcPr>
            <w:tcW w:w="1951" w:type="pct"/>
            <w:shd w:val="clear" w:color="auto" w:fill="auto"/>
            <w:vAlign w:val="center"/>
          </w:tcPr>
          <w:p w14:paraId="0E2F9146" w14:textId="5334AB3D" w:rsidR="000F33CC" w:rsidRPr="00A90AB7"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1525" w:type="pct"/>
            <w:shd w:val="clear" w:color="auto" w:fill="auto"/>
            <w:vAlign w:val="center"/>
          </w:tcPr>
          <w:p w14:paraId="31D77E7F" w14:textId="5A52708C" w:rsidR="000F33CC" w:rsidRPr="00A90AB7"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99238D">
              <w:rPr>
                <w:rFonts w:ascii="Times New Roman" w:eastAsia="Times New Roman" w:hAnsi="Times New Roman"/>
                <w:sz w:val="24"/>
                <w:szCs w:val="24"/>
                <w:lang w:val="nl-NL"/>
              </w:rPr>
              <w:t>Không áp dụng</w:t>
            </w:r>
          </w:p>
        </w:tc>
        <w:tc>
          <w:tcPr>
            <w:tcW w:w="1524" w:type="pct"/>
            <w:vAlign w:val="center"/>
          </w:tcPr>
          <w:p w14:paraId="41C49E78" w14:textId="745DC7E8" w:rsidR="000F33CC" w:rsidRPr="0099238D"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99238D">
              <w:rPr>
                <w:rFonts w:ascii="Times New Roman" w:eastAsia="Times New Roman" w:hAnsi="Times New Roman"/>
                <w:sz w:val="24"/>
                <w:szCs w:val="24"/>
                <w:lang w:val="nl-NL"/>
              </w:rPr>
              <w:t>Không áp dụng</w:t>
            </w:r>
          </w:p>
        </w:tc>
      </w:tr>
      <w:tr w:rsidR="000F33CC" w:rsidRPr="00A90AB7" w14:paraId="24143984" w14:textId="33085E5F" w:rsidTr="000F33CC">
        <w:tc>
          <w:tcPr>
            <w:tcW w:w="1951" w:type="pct"/>
            <w:shd w:val="clear" w:color="auto" w:fill="auto"/>
            <w:vAlign w:val="center"/>
          </w:tcPr>
          <w:p w14:paraId="6CA73C06" w14:textId="60784E31" w:rsidR="000F33CC" w:rsidRPr="00A90AB7"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1525" w:type="pct"/>
            <w:shd w:val="clear" w:color="auto" w:fill="auto"/>
            <w:vAlign w:val="center"/>
          </w:tcPr>
          <w:p w14:paraId="191A6152" w14:textId="08896BCD" w:rsidR="000F33CC" w:rsidRPr="00A90AB7"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99238D">
              <w:rPr>
                <w:rFonts w:ascii="Times New Roman" w:eastAsia="Times New Roman" w:hAnsi="Times New Roman"/>
                <w:sz w:val="24"/>
                <w:szCs w:val="24"/>
                <w:lang w:val="nl-NL"/>
              </w:rPr>
              <w:t>Không áp dụng</w:t>
            </w:r>
          </w:p>
        </w:tc>
        <w:tc>
          <w:tcPr>
            <w:tcW w:w="1524" w:type="pct"/>
            <w:vAlign w:val="center"/>
          </w:tcPr>
          <w:p w14:paraId="387611AB" w14:textId="4CCAF675" w:rsidR="000F33CC" w:rsidRPr="0099238D"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99238D">
              <w:rPr>
                <w:rFonts w:ascii="Times New Roman" w:eastAsia="Times New Roman" w:hAnsi="Times New Roman"/>
                <w:sz w:val="24"/>
                <w:szCs w:val="24"/>
                <w:lang w:val="nl-NL"/>
              </w:rPr>
              <w:t>Không áp dụng</w:t>
            </w:r>
          </w:p>
        </w:tc>
      </w:tr>
    </w:tbl>
    <w:p w14:paraId="6AF7B16F" w14:textId="77777777" w:rsidR="0099238D" w:rsidRPr="0099238D" w:rsidRDefault="0099238D" w:rsidP="001E3A51">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B65A122" w:rsidR="00753C12" w:rsidRDefault="0099238D" w:rsidP="001E3A51">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24E34861" w14:textId="7982EF10" w:rsidR="00DF533C" w:rsidRDefault="00382404" w:rsidP="0099238D">
      <w:pPr>
        <w:shd w:val="clear" w:color="auto" w:fill="FFFFFF"/>
        <w:tabs>
          <w:tab w:val="left" w:pos="540"/>
        </w:tabs>
        <w:spacing w:before="120" w:after="0" w:line="360" w:lineRule="auto"/>
        <w:rPr>
          <w:noProof/>
        </w:rPr>
      </w:pPr>
      <w:r>
        <w:rPr>
          <w:noProof/>
        </w:rPr>
        <w:lastRenderedPageBreak/>
        <w:drawing>
          <wp:inline distT="0" distB="0" distL="0" distR="0" wp14:anchorId="2F1A2217" wp14:editId="3B385854">
            <wp:extent cx="5943600" cy="3205480"/>
            <wp:effectExtent l="0" t="0" r="0" b="13970"/>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1" w:name="_Hlk99810626"/>
      <w:r w:rsidRPr="00315A8E">
        <w:rPr>
          <w:rFonts w:ascii="Times New Roman" w:hAnsi="Times New Roman"/>
          <w:sz w:val="24"/>
          <w:szCs w:val="24"/>
          <w:lang w:val="nl-NL"/>
        </w:rPr>
        <w:t xml:space="preserve">● </w:t>
      </w:r>
      <w:bookmarkStart w:id="2" w:name="_Hlk99810659"/>
      <w:r w:rsidRPr="00A90AB7">
        <w:rPr>
          <w:rFonts w:ascii="Times New Roman" w:hAnsi="Times New Roman"/>
          <w:sz w:val="24"/>
          <w:szCs w:val="24"/>
          <w:lang w:val="nl-NL"/>
        </w:rPr>
        <w:t xml:space="preserve">Thay đổi </w:t>
      </w:r>
      <w:r w:rsidR="00DF533C" w:rsidRPr="00DF533C">
        <w:rPr>
          <w:rFonts w:ascii="Times New Roman" w:hAnsi="Times New Roman"/>
          <w:sz w:val="24"/>
          <w:szCs w:val="24"/>
          <w:lang w:val="nl-NL"/>
        </w:rPr>
        <w:t>NAV</w:t>
      </w:r>
      <w:r w:rsidR="00DF533C">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A90AB7" w14:paraId="51028592" w14:textId="77777777" w:rsidTr="0017714B">
        <w:tc>
          <w:tcPr>
            <w:tcW w:w="1777" w:type="pct"/>
            <w:shd w:val="clear" w:color="auto" w:fill="auto"/>
          </w:tcPr>
          <w:p w14:paraId="47AB5736"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vAlign w:val="center"/>
          </w:tcPr>
          <w:p w14:paraId="133D99A6" w14:textId="50BA64A1" w:rsidR="0017714B" w:rsidRPr="00A90AB7" w:rsidRDefault="00922567" w:rsidP="0017714B">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w:t>
            </w:r>
            <w:r w:rsidR="003C29FC">
              <w:rPr>
                <w:rFonts w:ascii="Times New Roman" w:eastAsia="Times New Roman" w:hAnsi="Times New Roman"/>
                <w:sz w:val="24"/>
                <w:szCs w:val="24"/>
                <w:lang w:val="nl-NL"/>
              </w:rPr>
              <w:t>1</w:t>
            </w:r>
            <w:r w:rsidRPr="00922567">
              <w:rPr>
                <w:rFonts w:ascii="Times New Roman" w:eastAsia="Times New Roman" w:hAnsi="Times New Roman"/>
                <w:sz w:val="24"/>
                <w:szCs w:val="24"/>
                <w:lang w:val="nl-NL"/>
              </w:rPr>
              <w:t>/</w:t>
            </w:r>
            <w:r w:rsidR="00591B50">
              <w:rPr>
                <w:rFonts w:ascii="Times New Roman" w:eastAsia="Times New Roman" w:hAnsi="Times New Roman"/>
                <w:sz w:val="24"/>
                <w:szCs w:val="24"/>
                <w:lang w:val="nl-NL"/>
              </w:rPr>
              <w:t>03</w:t>
            </w:r>
            <w:r w:rsidR="0017714B" w:rsidRPr="009F4856">
              <w:rPr>
                <w:rFonts w:ascii="Times New Roman" w:eastAsia="Times New Roman" w:hAnsi="Times New Roman"/>
                <w:sz w:val="24"/>
                <w:szCs w:val="24"/>
                <w:lang w:val="nl-NL"/>
              </w:rPr>
              <w:t>/202</w:t>
            </w:r>
            <w:r w:rsidR="00591B50">
              <w:rPr>
                <w:rFonts w:ascii="Times New Roman" w:eastAsia="Times New Roman" w:hAnsi="Times New Roman"/>
                <w:sz w:val="24"/>
                <w:szCs w:val="24"/>
                <w:lang w:val="nl-NL"/>
              </w:rPr>
              <w:t>2</w:t>
            </w:r>
          </w:p>
        </w:tc>
        <w:tc>
          <w:tcPr>
            <w:tcW w:w="1019" w:type="pct"/>
            <w:shd w:val="clear" w:color="auto" w:fill="auto"/>
            <w:vAlign w:val="center"/>
          </w:tcPr>
          <w:p w14:paraId="3D3C1F6A" w14:textId="0DA96A82" w:rsidR="0017714B" w:rsidRPr="00A90AB7" w:rsidRDefault="00591B50" w:rsidP="0017714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31</w:t>
            </w:r>
            <w:r w:rsidR="00922567" w:rsidRPr="00922567">
              <w:rPr>
                <w:rFonts w:ascii="Times New Roman" w:eastAsia="Times New Roman" w:hAnsi="Times New Roman"/>
                <w:sz w:val="24"/>
                <w:szCs w:val="24"/>
                <w:lang w:val="nl-NL"/>
              </w:rPr>
              <w:t>/</w:t>
            </w:r>
            <w:r w:rsidR="00DF533C">
              <w:rPr>
                <w:rFonts w:ascii="Times New Roman" w:eastAsia="Times New Roman" w:hAnsi="Times New Roman"/>
                <w:sz w:val="24"/>
                <w:szCs w:val="24"/>
                <w:lang w:val="nl-NL"/>
              </w:rPr>
              <w:t>0</w:t>
            </w:r>
            <w:r>
              <w:rPr>
                <w:rFonts w:ascii="Times New Roman" w:eastAsia="Times New Roman" w:hAnsi="Times New Roman"/>
                <w:sz w:val="24"/>
                <w:szCs w:val="24"/>
                <w:lang w:val="nl-NL"/>
              </w:rPr>
              <w:t>3</w:t>
            </w:r>
            <w:r w:rsidR="0017714B" w:rsidRPr="009F4856">
              <w:rPr>
                <w:rFonts w:ascii="Times New Roman" w:eastAsia="Times New Roman" w:hAnsi="Times New Roman"/>
                <w:sz w:val="24"/>
                <w:szCs w:val="24"/>
                <w:lang w:val="nl-NL"/>
              </w:rPr>
              <w:t>/20</w:t>
            </w:r>
            <w:r w:rsidR="00B17BB1">
              <w:rPr>
                <w:rFonts w:ascii="Times New Roman" w:eastAsia="Times New Roman" w:hAnsi="Times New Roman"/>
                <w:sz w:val="24"/>
                <w:szCs w:val="24"/>
                <w:lang w:val="nl-NL"/>
              </w:rPr>
              <w:t>2</w:t>
            </w:r>
            <w:r w:rsidR="00DF533C">
              <w:rPr>
                <w:rFonts w:ascii="Times New Roman" w:eastAsia="Times New Roman" w:hAnsi="Times New Roman"/>
                <w:sz w:val="24"/>
                <w:szCs w:val="24"/>
                <w:lang w:val="nl-NL"/>
              </w:rPr>
              <w:t>1</w:t>
            </w:r>
          </w:p>
        </w:tc>
        <w:tc>
          <w:tcPr>
            <w:tcW w:w="1189" w:type="pct"/>
            <w:shd w:val="clear" w:color="auto" w:fill="auto"/>
          </w:tcPr>
          <w:p w14:paraId="468E027E"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1247A8" w:rsidRPr="00A90AB7" w14:paraId="20DB74E9" w14:textId="77777777" w:rsidTr="005D3325">
        <w:tc>
          <w:tcPr>
            <w:tcW w:w="1777" w:type="pct"/>
            <w:shd w:val="clear" w:color="auto" w:fill="auto"/>
          </w:tcPr>
          <w:p w14:paraId="3374F58E" w14:textId="57EE66DF" w:rsidR="001247A8" w:rsidRPr="00A90AB7" w:rsidRDefault="001247A8" w:rsidP="001247A8">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015" w:type="pct"/>
            <w:shd w:val="clear" w:color="auto" w:fill="auto"/>
          </w:tcPr>
          <w:p w14:paraId="28FD06C7" w14:textId="5B698704" w:rsidR="001247A8" w:rsidRPr="001247A8" w:rsidRDefault="001247A8" w:rsidP="001247A8">
            <w:pPr>
              <w:tabs>
                <w:tab w:val="left" w:pos="540"/>
              </w:tabs>
              <w:spacing w:before="120" w:after="0" w:line="240" w:lineRule="auto"/>
              <w:jc w:val="center"/>
              <w:rPr>
                <w:rFonts w:ascii="Times New Roman" w:eastAsia="Times New Roman" w:hAnsi="Times New Roman"/>
                <w:sz w:val="24"/>
                <w:szCs w:val="24"/>
                <w:lang w:val="nl-NL"/>
              </w:rPr>
            </w:pPr>
            <w:r w:rsidRPr="001247A8">
              <w:rPr>
                <w:rFonts w:ascii="Times New Roman" w:eastAsia="Times New Roman" w:hAnsi="Times New Roman"/>
                <w:sz w:val="24"/>
                <w:szCs w:val="24"/>
                <w:lang w:val="nl-NL"/>
              </w:rPr>
              <w:t xml:space="preserve"> 62,384,987,022 </w:t>
            </w:r>
          </w:p>
        </w:tc>
        <w:tc>
          <w:tcPr>
            <w:tcW w:w="1019" w:type="pct"/>
            <w:shd w:val="clear" w:color="auto" w:fill="auto"/>
          </w:tcPr>
          <w:p w14:paraId="0DF9D0FE" w14:textId="7A6D8854" w:rsidR="001247A8" w:rsidRPr="001247A8" w:rsidRDefault="001247A8" w:rsidP="001247A8">
            <w:pPr>
              <w:tabs>
                <w:tab w:val="left" w:pos="540"/>
              </w:tabs>
              <w:spacing w:before="120" w:after="0" w:line="240" w:lineRule="auto"/>
              <w:jc w:val="center"/>
              <w:rPr>
                <w:rFonts w:ascii="Times New Roman" w:eastAsia="Times New Roman" w:hAnsi="Times New Roman"/>
                <w:sz w:val="24"/>
                <w:szCs w:val="24"/>
                <w:lang w:val="nl-NL"/>
              </w:rPr>
            </w:pPr>
            <w:r w:rsidRPr="001247A8">
              <w:rPr>
                <w:rFonts w:ascii="Times New Roman" w:eastAsia="Times New Roman" w:hAnsi="Times New Roman"/>
                <w:sz w:val="24"/>
                <w:szCs w:val="24"/>
                <w:lang w:val="nl-NL"/>
              </w:rPr>
              <w:t xml:space="preserve"> 60,559,036,890 </w:t>
            </w:r>
          </w:p>
        </w:tc>
        <w:tc>
          <w:tcPr>
            <w:tcW w:w="1189" w:type="pct"/>
            <w:shd w:val="clear" w:color="auto" w:fill="auto"/>
          </w:tcPr>
          <w:p w14:paraId="43D36BCD" w14:textId="35DA821C" w:rsidR="001247A8" w:rsidRPr="001247A8" w:rsidRDefault="001247A8" w:rsidP="001247A8">
            <w:pPr>
              <w:tabs>
                <w:tab w:val="left" w:pos="540"/>
              </w:tabs>
              <w:spacing w:before="120" w:after="0" w:line="240" w:lineRule="auto"/>
              <w:jc w:val="center"/>
              <w:rPr>
                <w:rFonts w:ascii="Times New Roman" w:eastAsia="Times New Roman" w:hAnsi="Times New Roman"/>
                <w:sz w:val="24"/>
                <w:szCs w:val="24"/>
                <w:lang w:val="nl-NL"/>
              </w:rPr>
            </w:pPr>
            <w:r w:rsidRPr="001247A8">
              <w:rPr>
                <w:rFonts w:ascii="Times New Roman" w:eastAsia="Times New Roman" w:hAnsi="Times New Roman"/>
                <w:sz w:val="24"/>
                <w:szCs w:val="24"/>
                <w:lang w:val="nl-NL"/>
              </w:rPr>
              <w:t>3.02%</w:t>
            </w:r>
          </w:p>
        </w:tc>
      </w:tr>
      <w:tr w:rsidR="001247A8" w:rsidRPr="00A90AB7" w14:paraId="57472793" w14:textId="77777777" w:rsidTr="005D3325">
        <w:tc>
          <w:tcPr>
            <w:tcW w:w="1777" w:type="pct"/>
            <w:shd w:val="clear" w:color="auto" w:fill="auto"/>
          </w:tcPr>
          <w:p w14:paraId="1E20D587" w14:textId="2FFBFD26" w:rsidR="001247A8" w:rsidRPr="00A90AB7" w:rsidRDefault="001247A8" w:rsidP="001247A8">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trên 1 CCQ (“NAV/CCQ”)</w:t>
            </w:r>
          </w:p>
        </w:tc>
        <w:tc>
          <w:tcPr>
            <w:tcW w:w="1015" w:type="pct"/>
            <w:shd w:val="clear" w:color="auto" w:fill="auto"/>
          </w:tcPr>
          <w:p w14:paraId="6CAC6F70" w14:textId="1ABE463D" w:rsidR="001247A8" w:rsidRPr="001247A8" w:rsidRDefault="001247A8" w:rsidP="001247A8">
            <w:pPr>
              <w:tabs>
                <w:tab w:val="left" w:pos="540"/>
              </w:tabs>
              <w:spacing w:before="120" w:after="0" w:line="240" w:lineRule="auto"/>
              <w:jc w:val="center"/>
              <w:rPr>
                <w:rFonts w:ascii="Times New Roman" w:eastAsia="Times New Roman" w:hAnsi="Times New Roman"/>
                <w:sz w:val="24"/>
                <w:szCs w:val="24"/>
                <w:lang w:val="nl-NL"/>
              </w:rPr>
            </w:pPr>
            <w:r w:rsidRPr="001247A8">
              <w:rPr>
                <w:rFonts w:ascii="Times New Roman" w:eastAsia="Times New Roman" w:hAnsi="Times New Roman"/>
                <w:sz w:val="24"/>
                <w:szCs w:val="24"/>
                <w:lang w:val="nl-NL"/>
              </w:rPr>
              <w:t xml:space="preserve"> 10,061.64   </w:t>
            </w:r>
          </w:p>
        </w:tc>
        <w:tc>
          <w:tcPr>
            <w:tcW w:w="1019" w:type="pct"/>
            <w:shd w:val="clear" w:color="auto" w:fill="auto"/>
          </w:tcPr>
          <w:p w14:paraId="2E3BFBE6" w14:textId="64F9F9E6" w:rsidR="001247A8" w:rsidRPr="001247A8" w:rsidRDefault="001247A8" w:rsidP="001247A8">
            <w:pPr>
              <w:tabs>
                <w:tab w:val="left" w:pos="540"/>
              </w:tabs>
              <w:spacing w:before="120" w:after="0" w:line="240" w:lineRule="auto"/>
              <w:jc w:val="center"/>
              <w:rPr>
                <w:rFonts w:ascii="Times New Roman" w:eastAsia="Times New Roman" w:hAnsi="Times New Roman"/>
                <w:sz w:val="24"/>
                <w:szCs w:val="24"/>
                <w:lang w:val="nl-NL"/>
              </w:rPr>
            </w:pPr>
            <w:r w:rsidRPr="001247A8">
              <w:rPr>
                <w:rFonts w:ascii="Times New Roman" w:eastAsia="Times New Roman" w:hAnsi="Times New Roman"/>
                <w:sz w:val="24"/>
                <w:szCs w:val="24"/>
                <w:lang w:val="nl-NL"/>
              </w:rPr>
              <w:t xml:space="preserve"> 9,990.78   </w:t>
            </w:r>
          </w:p>
        </w:tc>
        <w:tc>
          <w:tcPr>
            <w:tcW w:w="1189" w:type="pct"/>
            <w:shd w:val="clear" w:color="auto" w:fill="auto"/>
          </w:tcPr>
          <w:p w14:paraId="4E3B62B9" w14:textId="21993242" w:rsidR="001247A8" w:rsidRPr="001247A8" w:rsidRDefault="001247A8" w:rsidP="001247A8">
            <w:pPr>
              <w:tabs>
                <w:tab w:val="left" w:pos="540"/>
              </w:tabs>
              <w:spacing w:before="120" w:after="0" w:line="240" w:lineRule="auto"/>
              <w:jc w:val="center"/>
              <w:rPr>
                <w:rFonts w:ascii="Times New Roman" w:eastAsia="Times New Roman" w:hAnsi="Times New Roman"/>
                <w:sz w:val="24"/>
                <w:szCs w:val="24"/>
                <w:lang w:val="nl-NL"/>
              </w:rPr>
            </w:pPr>
            <w:r w:rsidRPr="001247A8">
              <w:rPr>
                <w:rFonts w:ascii="Times New Roman" w:eastAsia="Times New Roman" w:hAnsi="Times New Roman"/>
                <w:sz w:val="24"/>
                <w:szCs w:val="24"/>
                <w:lang w:val="nl-NL"/>
              </w:rPr>
              <w:t>0.71%</w:t>
            </w:r>
          </w:p>
        </w:tc>
      </w:tr>
      <w:bookmarkEnd w:id="1"/>
      <w:bookmarkEnd w:id="2"/>
    </w:tbl>
    <w:p w14:paraId="4BBBE15D" w14:textId="77777777" w:rsidR="005C0B11"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6F73">
        <w:rPr>
          <w:rFonts w:ascii="Times New Roman" w:hAnsi="Times New Roman"/>
          <w:b/>
          <w:sz w:val="24"/>
          <w:szCs w:val="24"/>
          <w:lang w:val="nl-NL"/>
        </w:rPr>
        <w:t xml:space="preserve">4.2. Thống kê về Nhà đầu tư nắm giữ Chứng chỉ </w:t>
      </w:r>
      <w:r w:rsidR="008F2B2D" w:rsidRPr="00676F73">
        <w:rPr>
          <w:rFonts w:ascii="Times New Roman" w:hAnsi="Times New Roman"/>
          <w:b/>
          <w:sz w:val="24"/>
          <w:szCs w:val="24"/>
          <w:lang w:val="nl-NL"/>
        </w:rPr>
        <w:t>Q</w:t>
      </w:r>
      <w:r w:rsidRPr="00676F73">
        <w:rPr>
          <w:rFonts w:ascii="Times New Roman" w:hAnsi="Times New Roman"/>
          <w:b/>
          <w:sz w:val="24"/>
          <w:szCs w:val="24"/>
          <w:lang w:val="nl-NL"/>
        </w:rPr>
        <w:t>uỹ tại thời điểm báo cáo</w:t>
      </w:r>
      <w:r w:rsidR="005C0B11" w:rsidRPr="00676F73">
        <w:rPr>
          <w:rFonts w:ascii="Times New Roman" w:hAnsi="Times New Roman"/>
          <w:b/>
          <w:sz w:val="24"/>
          <w:szCs w:val="24"/>
          <w:lang w:val="nl-NL"/>
        </w:rPr>
        <w:t>:</w:t>
      </w:r>
      <w:r w:rsidRPr="005C0B11">
        <w:rPr>
          <w:rFonts w:ascii="Times New Roman" w:hAnsi="Times New Roman"/>
          <w:b/>
          <w:sz w:val="24"/>
          <w:szCs w:val="24"/>
          <w:lang w:val="nl-NL"/>
        </w:rPr>
        <w:t xml:space="preserve"> </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4AA6BC4E"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DF533C">
              <w:rPr>
                <w:rFonts w:ascii="Times New Roman" w:hAnsi="Times New Roman"/>
                <w:b/>
                <w:sz w:val="24"/>
                <w:szCs w:val="24"/>
              </w:rPr>
              <w:t xml:space="preserve"> (%)</w:t>
            </w:r>
          </w:p>
        </w:tc>
      </w:tr>
      <w:tr w:rsidR="00F04EB6" w:rsidRPr="00A90AB7" w14:paraId="5AC8833F" w14:textId="77777777" w:rsidTr="00840F4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7F9C07ED" w:rsidR="00F04EB6" w:rsidRPr="00F04EB6" w:rsidRDefault="00F04EB6" w:rsidP="00F04EB6">
            <w:pPr>
              <w:spacing w:after="0" w:line="240" w:lineRule="auto"/>
              <w:rPr>
                <w:rFonts w:ascii="Times New Roman" w:eastAsia="Times New Roman" w:hAnsi="Times New Roman"/>
                <w:sz w:val="24"/>
                <w:szCs w:val="24"/>
              </w:rPr>
            </w:pPr>
            <w:proofErr w:type="spellStart"/>
            <w:r w:rsidRPr="00F04EB6">
              <w:rPr>
                <w:rFonts w:ascii="Times New Roman" w:hAnsi="Times New Roman"/>
                <w:sz w:val="24"/>
                <w:szCs w:val="24"/>
              </w:rPr>
              <w:t>Dưới</w:t>
            </w:r>
            <w:proofErr w:type="spellEnd"/>
            <w:r w:rsidRPr="00F04EB6">
              <w:rPr>
                <w:rFonts w:ascii="Times New Roman" w:hAnsi="Times New Roman"/>
                <w:sz w:val="24"/>
                <w:szCs w:val="24"/>
              </w:rPr>
              <w:t xml:space="preserve"> 5</w:t>
            </w:r>
            <w:r w:rsidR="0064290A">
              <w:rPr>
                <w:rFonts w:ascii="Times New Roman" w:hAnsi="Times New Roman"/>
                <w:sz w:val="24"/>
                <w:szCs w:val="24"/>
              </w:rPr>
              <w:t>,</w:t>
            </w:r>
            <w:r w:rsidRPr="00F04EB6">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569AE133" w14:textId="7479B04C"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568</w:t>
            </w:r>
          </w:p>
        </w:tc>
        <w:tc>
          <w:tcPr>
            <w:tcW w:w="2692" w:type="dxa"/>
            <w:tcBorders>
              <w:top w:val="nil"/>
              <w:left w:val="nil"/>
              <w:bottom w:val="single" w:sz="8" w:space="0" w:color="auto"/>
              <w:right w:val="single" w:sz="8" w:space="0" w:color="auto"/>
            </w:tcBorders>
            <w:shd w:val="clear" w:color="auto" w:fill="auto"/>
            <w:vAlign w:val="center"/>
          </w:tcPr>
          <w:p w14:paraId="0EBE36E9" w14:textId="7B6D39A9"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134,753.51</w:t>
            </w:r>
          </w:p>
        </w:tc>
        <w:tc>
          <w:tcPr>
            <w:tcW w:w="1696" w:type="dxa"/>
            <w:tcBorders>
              <w:top w:val="nil"/>
              <w:left w:val="nil"/>
              <w:bottom w:val="single" w:sz="8" w:space="0" w:color="auto"/>
              <w:right w:val="single" w:sz="8" w:space="0" w:color="auto"/>
            </w:tcBorders>
            <w:shd w:val="clear" w:color="auto" w:fill="auto"/>
            <w:vAlign w:val="center"/>
          </w:tcPr>
          <w:p w14:paraId="324D4E7B" w14:textId="2849F185"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2.17%</w:t>
            </w:r>
          </w:p>
        </w:tc>
      </w:tr>
      <w:tr w:rsidR="00F04EB6" w:rsidRPr="00A90AB7" w14:paraId="112DFD1E" w14:textId="77777777" w:rsidTr="00840F4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04AA5100" w:rsidR="00F04EB6" w:rsidRPr="00F04EB6" w:rsidRDefault="00F04EB6" w:rsidP="00F04EB6">
            <w:pPr>
              <w:spacing w:after="0" w:line="240" w:lineRule="auto"/>
              <w:rPr>
                <w:rFonts w:ascii="Times New Roman" w:eastAsia="Times New Roman" w:hAnsi="Times New Roman"/>
                <w:sz w:val="24"/>
                <w:szCs w:val="24"/>
              </w:rPr>
            </w:pPr>
            <w:proofErr w:type="spellStart"/>
            <w:r w:rsidRPr="00F04EB6">
              <w:rPr>
                <w:rFonts w:ascii="Times New Roman" w:hAnsi="Times New Roman"/>
                <w:sz w:val="24"/>
                <w:szCs w:val="24"/>
              </w:rPr>
              <w:t>Từ</w:t>
            </w:r>
            <w:proofErr w:type="spellEnd"/>
            <w:r w:rsidRPr="00F04EB6">
              <w:rPr>
                <w:rFonts w:ascii="Times New Roman" w:hAnsi="Times New Roman"/>
                <w:sz w:val="24"/>
                <w:szCs w:val="24"/>
              </w:rPr>
              <w:t xml:space="preserve"> 5</w:t>
            </w:r>
            <w:r w:rsidR="0064290A">
              <w:rPr>
                <w:rFonts w:ascii="Times New Roman" w:hAnsi="Times New Roman"/>
                <w:sz w:val="24"/>
                <w:szCs w:val="24"/>
              </w:rPr>
              <w:t>,</w:t>
            </w:r>
            <w:r w:rsidRPr="00F04EB6">
              <w:rPr>
                <w:rFonts w:ascii="Times New Roman" w:hAnsi="Times New Roman"/>
                <w:sz w:val="24"/>
                <w:szCs w:val="24"/>
              </w:rPr>
              <w:t xml:space="preserve">000 – </w:t>
            </w:r>
            <w:proofErr w:type="spellStart"/>
            <w:r w:rsidRPr="00F04EB6">
              <w:rPr>
                <w:rFonts w:ascii="Times New Roman" w:hAnsi="Times New Roman"/>
                <w:sz w:val="24"/>
                <w:szCs w:val="24"/>
              </w:rPr>
              <w:t>dưới</w:t>
            </w:r>
            <w:proofErr w:type="spellEnd"/>
            <w:r w:rsidRPr="00F04EB6">
              <w:rPr>
                <w:rFonts w:ascii="Times New Roman" w:hAnsi="Times New Roman"/>
                <w:sz w:val="24"/>
                <w:szCs w:val="24"/>
              </w:rPr>
              <w:t xml:space="preserve"> 10</w:t>
            </w:r>
            <w:r w:rsidR="0064290A">
              <w:rPr>
                <w:rFonts w:ascii="Times New Roman" w:hAnsi="Times New Roman"/>
                <w:sz w:val="24"/>
                <w:szCs w:val="24"/>
              </w:rPr>
              <w:t>,</w:t>
            </w:r>
            <w:r w:rsidRPr="00F04EB6">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523D61E2" w14:textId="2EE7DA07"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2</w:t>
            </w:r>
          </w:p>
        </w:tc>
        <w:tc>
          <w:tcPr>
            <w:tcW w:w="2692" w:type="dxa"/>
            <w:tcBorders>
              <w:top w:val="nil"/>
              <w:left w:val="nil"/>
              <w:bottom w:val="single" w:sz="8" w:space="0" w:color="auto"/>
              <w:right w:val="single" w:sz="8" w:space="0" w:color="auto"/>
            </w:tcBorders>
            <w:shd w:val="clear" w:color="auto" w:fill="auto"/>
            <w:vAlign w:val="center"/>
          </w:tcPr>
          <w:p w14:paraId="17E0FA6A" w14:textId="0FA4152A"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14,743.56</w:t>
            </w:r>
          </w:p>
        </w:tc>
        <w:tc>
          <w:tcPr>
            <w:tcW w:w="1696" w:type="dxa"/>
            <w:tcBorders>
              <w:top w:val="nil"/>
              <w:left w:val="nil"/>
              <w:bottom w:val="single" w:sz="8" w:space="0" w:color="auto"/>
              <w:right w:val="single" w:sz="8" w:space="0" w:color="auto"/>
            </w:tcBorders>
            <w:shd w:val="clear" w:color="auto" w:fill="auto"/>
            <w:vAlign w:val="center"/>
          </w:tcPr>
          <w:p w14:paraId="2CF369C9" w14:textId="24CC9ED6"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0.24%</w:t>
            </w:r>
          </w:p>
        </w:tc>
      </w:tr>
      <w:tr w:rsidR="00F04EB6" w:rsidRPr="00A90AB7" w14:paraId="33F2F3B6" w14:textId="77777777" w:rsidTr="00840F4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78367192" w:rsidR="00F04EB6" w:rsidRPr="00F04EB6" w:rsidRDefault="00F04EB6" w:rsidP="00F04EB6">
            <w:pPr>
              <w:spacing w:after="0" w:line="240" w:lineRule="auto"/>
              <w:rPr>
                <w:rFonts w:ascii="Times New Roman" w:eastAsia="Times New Roman" w:hAnsi="Times New Roman"/>
                <w:sz w:val="24"/>
                <w:szCs w:val="24"/>
              </w:rPr>
            </w:pPr>
            <w:proofErr w:type="spellStart"/>
            <w:r w:rsidRPr="00F04EB6">
              <w:rPr>
                <w:rFonts w:ascii="Times New Roman" w:hAnsi="Times New Roman"/>
                <w:sz w:val="24"/>
                <w:szCs w:val="24"/>
              </w:rPr>
              <w:t>Từ</w:t>
            </w:r>
            <w:proofErr w:type="spellEnd"/>
            <w:r w:rsidRPr="00F04EB6">
              <w:rPr>
                <w:rFonts w:ascii="Times New Roman" w:hAnsi="Times New Roman"/>
                <w:sz w:val="24"/>
                <w:szCs w:val="24"/>
              </w:rPr>
              <w:t xml:space="preserve"> 10</w:t>
            </w:r>
            <w:r w:rsidR="0064290A">
              <w:rPr>
                <w:rFonts w:ascii="Times New Roman" w:hAnsi="Times New Roman"/>
                <w:sz w:val="24"/>
                <w:szCs w:val="24"/>
              </w:rPr>
              <w:t>,</w:t>
            </w:r>
            <w:r w:rsidRPr="00F04EB6">
              <w:rPr>
                <w:rFonts w:ascii="Times New Roman" w:hAnsi="Times New Roman"/>
                <w:sz w:val="24"/>
                <w:szCs w:val="24"/>
              </w:rPr>
              <w:t xml:space="preserve">000 – </w:t>
            </w:r>
            <w:proofErr w:type="spellStart"/>
            <w:r w:rsidRPr="00F04EB6">
              <w:rPr>
                <w:rFonts w:ascii="Times New Roman" w:hAnsi="Times New Roman"/>
                <w:sz w:val="24"/>
                <w:szCs w:val="24"/>
              </w:rPr>
              <w:t>dưới</w:t>
            </w:r>
            <w:proofErr w:type="spellEnd"/>
            <w:r w:rsidRPr="00F04EB6">
              <w:rPr>
                <w:rFonts w:ascii="Times New Roman" w:hAnsi="Times New Roman"/>
                <w:sz w:val="24"/>
                <w:szCs w:val="24"/>
              </w:rPr>
              <w:t xml:space="preserve"> 50</w:t>
            </w:r>
            <w:r w:rsidR="0064290A">
              <w:rPr>
                <w:rFonts w:ascii="Times New Roman" w:hAnsi="Times New Roman"/>
                <w:sz w:val="24"/>
                <w:szCs w:val="24"/>
              </w:rPr>
              <w:t>,</w:t>
            </w:r>
            <w:r w:rsidRPr="00F04EB6">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3406A864" w14:textId="3B5777D7"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2</w:t>
            </w:r>
          </w:p>
        </w:tc>
        <w:tc>
          <w:tcPr>
            <w:tcW w:w="2692" w:type="dxa"/>
            <w:tcBorders>
              <w:top w:val="nil"/>
              <w:left w:val="nil"/>
              <w:bottom w:val="single" w:sz="8" w:space="0" w:color="auto"/>
              <w:right w:val="single" w:sz="8" w:space="0" w:color="auto"/>
            </w:tcBorders>
            <w:shd w:val="clear" w:color="auto" w:fill="auto"/>
            <w:vAlign w:val="center"/>
          </w:tcPr>
          <w:p w14:paraId="7E76C849" w14:textId="259D42C2"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50,780.88</w:t>
            </w:r>
          </w:p>
        </w:tc>
        <w:tc>
          <w:tcPr>
            <w:tcW w:w="1696" w:type="dxa"/>
            <w:tcBorders>
              <w:top w:val="nil"/>
              <w:left w:val="nil"/>
              <w:bottom w:val="single" w:sz="8" w:space="0" w:color="auto"/>
              <w:right w:val="single" w:sz="8" w:space="0" w:color="auto"/>
            </w:tcBorders>
            <w:shd w:val="clear" w:color="auto" w:fill="auto"/>
            <w:vAlign w:val="center"/>
          </w:tcPr>
          <w:p w14:paraId="2DEE8F0F" w14:textId="1D16C32D"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0.82%</w:t>
            </w:r>
          </w:p>
        </w:tc>
      </w:tr>
      <w:tr w:rsidR="00F04EB6" w:rsidRPr="00A90AB7" w14:paraId="656817C8" w14:textId="77777777" w:rsidTr="00F04EB6">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4EACA51" w:rsidR="00F04EB6" w:rsidRPr="00F04EB6" w:rsidRDefault="00F04EB6" w:rsidP="00F04EB6">
            <w:pPr>
              <w:spacing w:after="0" w:line="240" w:lineRule="auto"/>
              <w:rPr>
                <w:rFonts w:ascii="Times New Roman" w:eastAsia="Times New Roman" w:hAnsi="Times New Roman"/>
                <w:sz w:val="24"/>
                <w:szCs w:val="24"/>
              </w:rPr>
            </w:pPr>
            <w:proofErr w:type="spellStart"/>
            <w:r w:rsidRPr="00F04EB6">
              <w:rPr>
                <w:rFonts w:ascii="Times New Roman" w:hAnsi="Times New Roman"/>
                <w:sz w:val="24"/>
                <w:szCs w:val="24"/>
              </w:rPr>
              <w:t>Từ</w:t>
            </w:r>
            <w:proofErr w:type="spellEnd"/>
            <w:r w:rsidRPr="00F04EB6">
              <w:rPr>
                <w:rFonts w:ascii="Times New Roman" w:hAnsi="Times New Roman"/>
                <w:sz w:val="24"/>
                <w:szCs w:val="24"/>
              </w:rPr>
              <w:t xml:space="preserve"> 50</w:t>
            </w:r>
            <w:r w:rsidR="0064290A">
              <w:rPr>
                <w:rFonts w:ascii="Times New Roman" w:hAnsi="Times New Roman"/>
                <w:sz w:val="24"/>
                <w:szCs w:val="24"/>
              </w:rPr>
              <w:t>,</w:t>
            </w:r>
            <w:r w:rsidRPr="00F04EB6">
              <w:rPr>
                <w:rFonts w:ascii="Times New Roman" w:hAnsi="Times New Roman"/>
                <w:sz w:val="24"/>
                <w:szCs w:val="24"/>
              </w:rPr>
              <w:t xml:space="preserve">000 – </w:t>
            </w:r>
            <w:proofErr w:type="spellStart"/>
            <w:r w:rsidRPr="00F04EB6">
              <w:rPr>
                <w:rFonts w:ascii="Times New Roman" w:hAnsi="Times New Roman"/>
                <w:sz w:val="24"/>
                <w:szCs w:val="24"/>
              </w:rPr>
              <w:t>dưới</w:t>
            </w:r>
            <w:proofErr w:type="spellEnd"/>
            <w:r w:rsidRPr="00F04EB6">
              <w:rPr>
                <w:rFonts w:ascii="Times New Roman" w:hAnsi="Times New Roman"/>
                <w:sz w:val="24"/>
                <w:szCs w:val="24"/>
              </w:rPr>
              <w:t xml:space="preserve"> 500</w:t>
            </w:r>
            <w:r w:rsidR="0064290A">
              <w:rPr>
                <w:rFonts w:ascii="Times New Roman" w:hAnsi="Times New Roman"/>
                <w:sz w:val="24"/>
                <w:szCs w:val="24"/>
              </w:rPr>
              <w:t>,</w:t>
            </w:r>
            <w:r w:rsidRPr="00F04EB6">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709B3670" w14:textId="61831415"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0</w:t>
            </w:r>
          </w:p>
        </w:tc>
        <w:tc>
          <w:tcPr>
            <w:tcW w:w="2692" w:type="dxa"/>
            <w:tcBorders>
              <w:top w:val="nil"/>
              <w:left w:val="nil"/>
              <w:bottom w:val="single" w:sz="8" w:space="0" w:color="auto"/>
              <w:right w:val="single" w:sz="8" w:space="0" w:color="auto"/>
            </w:tcBorders>
            <w:shd w:val="clear" w:color="auto" w:fill="auto"/>
            <w:vAlign w:val="center"/>
          </w:tcPr>
          <w:p w14:paraId="0D84550F" w14:textId="7CA65DD7"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0.00</w:t>
            </w:r>
          </w:p>
        </w:tc>
        <w:tc>
          <w:tcPr>
            <w:tcW w:w="1696" w:type="dxa"/>
            <w:tcBorders>
              <w:top w:val="nil"/>
              <w:left w:val="nil"/>
              <w:bottom w:val="single" w:sz="8" w:space="0" w:color="auto"/>
              <w:right w:val="single" w:sz="8" w:space="0" w:color="auto"/>
            </w:tcBorders>
            <w:shd w:val="clear" w:color="auto" w:fill="auto"/>
            <w:vAlign w:val="center"/>
          </w:tcPr>
          <w:p w14:paraId="28BFE95B" w14:textId="156AF6BF" w:rsidR="00F04EB6" w:rsidRPr="00F04EB6" w:rsidRDefault="00F04EB6" w:rsidP="00F04EB6">
            <w:pPr>
              <w:spacing w:after="0" w:line="240" w:lineRule="auto"/>
              <w:jc w:val="center"/>
              <w:rPr>
                <w:rFonts w:ascii="Times New Roman" w:eastAsia="Times New Roman" w:hAnsi="Times New Roman"/>
                <w:iCs/>
                <w:sz w:val="24"/>
                <w:szCs w:val="24"/>
              </w:rPr>
            </w:pPr>
            <w:r w:rsidRPr="00F04EB6">
              <w:rPr>
                <w:rFonts w:ascii="Times New Roman" w:hAnsi="Times New Roman"/>
                <w:color w:val="000000"/>
                <w:sz w:val="24"/>
                <w:szCs w:val="24"/>
              </w:rPr>
              <w:t>0.00%</w:t>
            </w:r>
          </w:p>
        </w:tc>
      </w:tr>
      <w:tr w:rsidR="00F04EB6" w:rsidRPr="00A90AB7" w14:paraId="7A11D66F" w14:textId="77777777" w:rsidTr="00F04EB6">
        <w:trPr>
          <w:trHeight w:val="315"/>
        </w:trPr>
        <w:tc>
          <w:tcPr>
            <w:tcW w:w="2967" w:type="dxa"/>
            <w:tcBorders>
              <w:top w:val="single" w:sz="8" w:space="0" w:color="auto"/>
              <w:left w:val="single" w:sz="8" w:space="0" w:color="auto"/>
              <w:bottom w:val="single" w:sz="4" w:space="0" w:color="auto"/>
              <w:right w:val="single" w:sz="8" w:space="0" w:color="auto"/>
            </w:tcBorders>
            <w:shd w:val="clear" w:color="auto" w:fill="auto"/>
            <w:hideMark/>
          </w:tcPr>
          <w:p w14:paraId="656537AF" w14:textId="6EFE540E" w:rsidR="00F04EB6" w:rsidRPr="00F04EB6" w:rsidRDefault="00F04EB6" w:rsidP="00F04EB6">
            <w:pPr>
              <w:spacing w:after="0" w:line="240" w:lineRule="auto"/>
              <w:rPr>
                <w:rFonts w:ascii="Times New Roman" w:hAnsi="Times New Roman"/>
                <w:sz w:val="24"/>
                <w:szCs w:val="24"/>
              </w:rPr>
            </w:pPr>
            <w:proofErr w:type="spellStart"/>
            <w:r w:rsidRPr="00F04EB6">
              <w:rPr>
                <w:rFonts w:ascii="Times New Roman" w:hAnsi="Times New Roman"/>
                <w:sz w:val="24"/>
                <w:szCs w:val="24"/>
              </w:rPr>
              <w:t>Trên</w:t>
            </w:r>
            <w:proofErr w:type="spellEnd"/>
            <w:r w:rsidRPr="00F04EB6">
              <w:rPr>
                <w:rFonts w:ascii="Times New Roman" w:hAnsi="Times New Roman"/>
                <w:sz w:val="24"/>
                <w:szCs w:val="24"/>
              </w:rPr>
              <w:t xml:space="preserve"> 500,000</w:t>
            </w:r>
          </w:p>
        </w:tc>
        <w:tc>
          <w:tcPr>
            <w:tcW w:w="1985" w:type="dxa"/>
            <w:tcBorders>
              <w:top w:val="single" w:sz="8" w:space="0" w:color="auto"/>
              <w:left w:val="nil"/>
              <w:bottom w:val="single" w:sz="4" w:space="0" w:color="auto"/>
              <w:right w:val="single" w:sz="8" w:space="0" w:color="auto"/>
            </w:tcBorders>
            <w:shd w:val="clear" w:color="auto" w:fill="auto"/>
            <w:vAlign w:val="center"/>
          </w:tcPr>
          <w:p w14:paraId="77162138" w14:textId="43992AA5" w:rsidR="00F04EB6" w:rsidRPr="00F04EB6" w:rsidRDefault="00F04EB6" w:rsidP="00F04EB6">
            <w:pPr>
              <w:spacing w:after="0" w:line="240" w:lineRule="auto"/>
              <w:jc w:val="center"/>
              <w:rPr>
                <w:rFonts w:ascii="Times New Roman" w:hAnsi="Times New Roman"/>
                <w:sz w:val="24"/>
                <w:szCs w:val="24"/>
              </w:rPr>
            </w:pPr>
            <w:r w:rsidRPr="00F04EB6">
              <w:rPr>
                <w:rFonts w:ascii="Times New Roman" w:hAnsi="Times New Roman"/>
                <w:sz w:val="24"/>
                <w:szCs w:val="24"/>
              </w:rPr>
              <w:t>1</w:t>
            </w:r>
          </w:p>
        </w:tc>
        <w:tc>
          <w:tcPr>
            <w:tcW w:w="2692" w:type="dxa"/>
            <w:tcBorders>
              <w:top w:val="single" w:sz="8" w:space="0" w:color="auto"/>
              <w:left w:val="nil"/>
              <w:bottom w:val="single" w:sz="4" w:space="0" w:color="auto"/>
              <w:right w:val="single" w:sz="8" w:space="0" w:color="auto"/>
            </w:tcBorders>
            <w:shd w:val="clear" w:color="auto" w:fill="auto"/>
            <w:vAlign w:val="center"/>
          </w:tcPr>
          <w:p w14:paraId="270549B9" w14:textId="0B0672E4" w:rsidR="00F04EB6" w:rsidRPr="00F04EB6" w:rsidRDefault="00F04EB6" w:rsidP="00F04EB6">
            <w:pPr>
              <w:spacing w:after="0" w:line="240" w:lineRule="auto"/>
              <w:jc w:val="center"/>
              <w:rPr>
                <w:rFonts w:ascii="Times New Roman" w:hAnsi="Times New Roman"/>
                <w:sz w:val="24"/>
                <w:szCs w:val="24"/>
              </w:rPr>
            </w:pPr>
            <w:r w:rsidRPr="00F04EB6">
              <w:rPr>
                <w:rFonts w:ascii="Times New Roman" w:hAnsi="Times New Roman"/>
                <w:sz w:val="24"/>
                <w:szCs w:val="24"/>
              </w:rPr>
              <w:t>6,000,000.00</w:t>
            </w:r>
          </w:p>
        </w:tc>
        <w:tc>
          <w:tcPr>
            <w:tcW w:w="1696" w:type="dxa"/>
            <w:tcBorders>
              <w:top w:val="single" w:sz="8" w:space="0" w:color="auto"/>
              <w:left w:val="nil"/>
              <w:bottom w:val="single" w:sz="4" w:space="0" w:color="auto"/>
              <w:right w:val="single" w:sz="8" w:space="0" w:color="auto"/>
            </w:tcBorders>
            <w:shd w:val="clear" w:color="auto" w:fill="auto"/>
            <w:vAlign w:val="center"/>
          </w:tcPr>
          <w:p w14:paraId="10E9F2BC" w14:textId="667DDED4" w:rsidR="00F04EB6" w:rsidRPr="00F04EB6" w:rsidRDefault="00F04EB6" w:rsidP="00F04EB6">
            <w:pPr>
              <w:spacing w:after="0" w:line="240" w:lineRule="auto"/>
              <w:jc w:val="center"/>
              <w:rPr>
                <w:rFonts w:ascii="Times New Roman" w:hAnsi="Times New Roman"/>
                <w:sz w:val="24"/>
                <w:szCs w:val="24"/>
              </w:rPr>
            </w:pPr>
            <w:r w:rsidRPr="00F04EB6">
              <w:rPr>
                <w:rFonts w:ascii="Times New Roman" w:hAnsi="Times New Roman"/>
                <w:sz w:val="24"/>
                <w:szCs w:val="24"/>
              </w:rPr>
              <w:t>96.77%</w:t>
            </w:r>
          </w:p>
        </w:tc>
      </w:tr>
      <w:tr w:rsidR="00F04EB6" w:rsidRPr="00A90AB7" w14:paraId="5B7773CD" w14:textId="77777777" w:rsidTr="00F04EB6">
        <w:trPr>
          <w:trHeight w:val="315"/>
        </w:trPr>
        <w:tc>
          <w:tcPr>
            <w:tcW w:w="2967" w:type="dxa"/>
            <w:tcBorders>
              <w:top w:val="single" w:sz="4" w:space="0" w:color="auto"/>
              <w:left w:val="single" w:sz="8" w:space="0" w:color="auto"/>
              <w:bottom w:val="single" w:sz="8" w:space="0" w:color="auto"/>
              <w:right w:val="single" w:sz="8" w:space="0" w:color="auto"/>
            </w:tcBorders>
            <w:shd w:val="clear" w:color="auto" w:fill="auto"/>
          </w:tcPr>
          <w:p w14:paraId="6324AF68" w14:textId="05DA4FB9" w:rsidR="00F04EB6" w:rsidRPr="00F04EB6" w:rsidRDefault="00F04EB6" w:rsidP="00F04EB6">
            <w:pPr>
              <w:spacing w:after="0" w:line="240" w:lineRule="auto"/>
              <w:rPr>
                <w:rFonts w:ascii="Times New Roman" w:hAnsi="Times New Roman"/>
                <w:b/>
                <w:bCs/>
                <w:sz w:val="24"/>
                <w:szCs w:val="24"/>
              </w:rPr>
            </w:pPr>
            <w:proofErr w:type="spellStart"/>
            <w:r w:rsidRPr="00F04EB6">
              <w:rPr>
                <w:rFonts w:ascii="Times New Roman" w:hAnsi="Times New Roman"/>
                <w:b/>
                <w:bCs/>
                <w:sz w:val="24"/>
                <w:szCs w:val="24"/>
              </w:rPr>
              <w:t>Tổng</w:t>
            </w:r>
            <w:proofErr w:type="spellEnd"/>
            <w:r w:rsidRPr="00F04EB6">
              <w:rPr>
                <w:rFonts w:ascii="Times New Roman" w:hAnsi="Times New Roman"/>
                <w:b/>
                <w:bCs/>
                <w:sz w:val="24"/>
                <w:szCs w:val="24"/>
              </w:rPr>
              <w:t xml:space="preserve"> </w:t>
            </w:r>
            <w:proofErr w:type="spellStart"/>
            <w:r w:rsidRPr="00F04EB6">
              <w:rPr>
                <w:rFonts w:ascii="Times New Roman" w:hAnsi="Times New Roman"/>
                <w:b/>
                <w:bCs/>
                <w:sz w:val="24"/>
                <w:szCs w:val="24"/>
              </w:rPr>
              <w:t>cộng</w:t>
            </w:r>
            <w:proofErr w:type="spellEnd"/>
          </w:p>
        </w:tc>
        <w:tc>
          <w:tcPr>
            <w:tcW w:w="1985" w:type="dxa"/>
            <w:tcBorders>
              <w:top w:val="single" w:sz="4" w:space="0" w:color="auto"/>
              <w:left w:val="nil"/>
              <w:bottom w:val="single" w:sz="8" w:space="0" w:color="auto"/>
              <w:right w:val="single" w:sz="8" w:space="0" w:color="auto"/>
            </w:tcBorders>
            <w:shd w:val="clear" w:color="auto" w:fill="auto"/>
            <w:vAlign w:val="center"/>
          </w:tcPr>
          <w:p w14:paraId="116A1581" w14:textId="2331247B" w:rsidR="00F04EB6" w:rsidRPr="00F04EB6" w:rsidRDefault="00F04EB6" w:rsidP="00F04EB6">
            <w:pPr>
              <w:spacing w:after="0" w:line="240" w:lineRule="auto"/>
              <w:jc w:val="center"/>
              <w:rPr>
                <w:rFonts w:ascii="Times New Roman" w:hAnsi="Times New Roman"/>
                <w:b/>
                <w:bCs/>
                <w:sz w:val="24"/>
                <w:szCs w:val="24"/>
              </w:rPr>
            </w:pPr>
            <w:r w:rsidRPr="00F04EB6">
              <w:rPr>
                <w:rFonts w:ascii="Times New Roman" w:hAnsi="Times New Roman"/>
                <w:b/>
                <w:bCs/>
                <w:color w:val="000000"/>
                <w:sz w:val="24"/>
                <w:szCs w:val="24"/>
              </w:rPr>
              <w:t>573</w:t>
            </w:r>
          </w:p>
        </w:tc>
        <w:tc>
          <w:tcPr>
            <w:tcW w:w="2692" w:type="dxa"/>
            <w:tcBorders>
              <w:top w:val="single" w:sz="4" w:space="0" w:color="auto"/>
              <w:left w:val="nil"/>
              <w:bottom w:val="single" w:sz="8" w:space="0" w:color="auto"/>
              <w:right w:val="single" w:sz="8" w:space="0" w:color="auto"/>
            </w:tcBorders>
            <w:shd w:val="clear" w:color="auto" w:fill="auto"/>
            <w:vAlign w:val="center"/>
          </w:tcPr>
          <w:p w14:paraId="2DC7BED8" w14:textId="7CC46D2E" w:rsidR="00F04EB6" w:rsidRPr="00F04EB6" w:rsidRDefault="00F04EB6" w:rsidP="00F04EB6">
            <w:pPr>
              <w:spacing w:after="0" w:line="240" w:lineRule="auto"/>
              <w:jc w:val="center"/>
              <w:rPr>
                <w:rFonts w:ascii="Times New Roman" w:hAnsi="Times New Roman"/>
                <w:b/>
                <w:bCs/>
                <w:sz w:val="24"/>
                <w:szCs w:val="24"/>
              </w:rPr>
            </w:pPr>
            <w:r w:rsidRPr="00F04EB6">
              <w:rPr>
                <w:rFonts w:ascii="Times New Roman" w:hAnsi="Times New Roman"/>
                <w:b/>
                <w:bCs/>
                <w:color w:val="000000"/>
                <w:sz w:val="24"/>
                <w:szCs w:val="24"/>
              </w:rPr>
              <w:t>6,200,277.95</w:t>
            </w:r>
          </w:p>
        </w:tc>
        <w:tc>
          <w:tcPr>
            <w:tcW w:w="1696" w:type="dxa"/>
            <w:tcBorders>
              <w:top w:val="single" w:sz="4" w:space="0" w:color="auto"/>
              <w:left w:val="nil"/>
              <w:bottom w:val="single" w:sz="8" w:space="0" w:color="auto"/>
              <w:right w:val="single" w:sz="8" w:space="0" w:color="auto"/>
            </w:tcBorders>
            <w:shd w:val="clear" w:color="auto" w:fill="auto"/>
            <w:vAlign w:val="center"/>
          </w:tcPr>
          <w:p w14:paraId="62F13B29" w14:textId="5BF61947" w:rsidR="00F04EB6" w:rsidRPr="00F04EB6" w:rsidRDefault="00F04EB6" w:rsidP="00F04EB6">
            <w:pPr>
              <w:spacing w:after="0" w:line="240" w:lineRule="auto"/>
              <w:jc w:val="center"/>
              <w:rPr>
                <w:rFonts w:ascii="Times New Roman" w:hAnsi="Times New Roman"/>
                <w:b/>
                <w:bCs/>
                <w:sz w:val="24"/>
                <w:szCs w:val="24"/>
              </w:rPr>
            </w:pPr>
            <w:r w:rsidRPr="00F04EB6">
              <w:rPr>
                <w:rFonts w:ascii="Times New Roman" w:hAnsi="Times New Roman"/>
                <w:b/>
                <w:bCs/>
                <w:color w:val="000000"/>
                <w:sz w:val="24"/>
                <w:szCs w:val="24"/>
              </w:rPr>
              <w:t>100.00%</w:t>
            </w:r>
          </w:p>
        </w:tc>
      </w:tr>
    </w:tbl>
    <w:p w14:paraId="6B5618EA" w14:textId="2F20BDE5" w:rsidR="00BE6F63" w:rsidRPr="00A90AB7"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70D1A028" w14:textId="3F8F76D2" w:rsidR="00E0018A" w:rsidRDefault="00DF533C" w:rsidP="00315A8E">
      <w:pPr>
        <w:shd w:val="clear" w:color="auto" w:fill="FFFFFF"/>
        <w:tabs>
          <w:tab w:val="left" w:pos="540"/>
        </w:tabs>
        <w:spacing w:after="0" w:line="240" w:lineRule="auto"/>
        <w:jc w:val="both"/>
        <w:rPr>
          <w:rFonts w:ascii="Times New Roman" w:hAnsi="Times New Roman"/>
          <w:sz w:val="24"/>
          <w:szCs w:val="24"/>
          <w:lang w:val="nl-NL"/>
        </w:rPr>
      </w:pPr>
      <w:r w:rsidRPr="00DF533C">
        <w:rPr>
          <w:rFonts w:ascii="Times New Roman" w:hAnsi="Times New Roman"/>
          <w:sz w:val="24"/>
          <w:szCs w:val="24"/>
          <w:lang w:val="nl-NL"/>
        </w:rPr>
        <w:t>Quỹ không có chi phí ngầm. Tất cả các chi phí của Quỹ được quy định chi tiết trong Điều lệ Quỹ và Bản cáo bạch.</w:t>
      </w:r>
    </w:p>
    <w:p w14:paraId="7DCE385E" w14:textId="77777777" w:rsidR="00DF533C" w:rsidRPr="00A90AB7" w:rsidRDefault="00DF533C"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26243E61" w:rsidR="00BE6F63" w:rsidRPr="00A90AB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458D1">
        <w:rPr>
          <w:rFonts w:ascii="Times New Roman" w:hAnsi="Times New Roman"/>
          <w:b/>
          <w:sz w:val="24"/>
          <w:szCs w:val="24"/>
          <w:lang w:val="nl-NL"/>
        </w:rPr>
        <w:t>5</w:t>
      </w:r>
      <w:r w:rsidR="00BE6F63" w:rsidRPr="00B458D1">
        <w:rPr>
          <w:rFonts w:ascii="Times New Roman" w:hAnsi="Times New Roman"/>
          <w:b/>
          <w:sz w:val="24"/>
          <w:szCs w:val="24"/>
          <w:lang w:val="nl-NL"/>
        </w:rPr>
        <w:t>. Thông tin về triển vọng thị trường</w:t>
      </w:r>
    </w:p>
    <w:p w14:paraId="0B7D36B7" w14:textId="27A357F0" w:rsidR="000053CD" w:rsidRPr="000053CD" w:rsidRDefault="000053CD" w:rsidP="000053C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ab/>
      </w:r>
      <w:r w:rsidRPr="000053CD">
        <w:rPr>
          <w:rFonts w:ascii="Times New Roman" w:hAnsi="Times New Roman"/>
          <w:sz w:val="24"/>
          <w:szCs w:val="24"/>
          <w:lang w:val="nl-NL"/>
        </w:rPr>
        <w:t xml:space="preserve">Năm 2022, Chính phủ đã đặt mục tiêu đẩy mạnh giải ngân đầu tư công và đây cũng là động lực quan trọng nhằm thúc đẩy kinh tế, hỗ trợ phục hồi sau đại dịch. Trong bối cảnh nguồn vốn huy </w:t>
      </w:r>
      <w:r w:rsidRPr="000053CD">
        <w:rPr>
          <w:rFonts w:ascii="Times New Roman" w:hAnsi="Times New Roman"/>
          <w:sz w:val="24"/>
          <w:szCs w:val="24"/>
          <w:lang w:val="nl-NL"/>
        </w:rPr>
        <w:lastRenderedPageBreak/>
        <w:t>động cho đầu tư phát triển từ quốc tế suy giảm, đặc biệt là vốn ODA, nguồn vốn huy động trong nước sẽ tiếp tục đóng vai trò quan trọng và áp lực phát hành trái phiếu chính phủ là rất lớn.</w:t>
      </w:r>
    </w:p>
    <w:p w14:paraId="5DA8B81C" w14:textId="40715A1E" w:rsidR="000053CD" w:rsidRPr="000053CD" w:rsidRDefault="000053CD" w:rsidP="000053C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ab/>
      </w:r>
      <w:r w:rsidRPr="000053CD">
        <w:rPr>
          <w:rFonts w:ascii="Times New Roman" w:hAnsi="Times New Roman"/>
          <w:sz w:val="24"/>
          <w:szCs w:val="24"/>
          <w:lang w:val="nl-NL"/>
        </w:rPr>
        <w:t xml:space="preserve">Bên cạnh đó, Ngân hàng nhà nước kỳ vọng vẫn sẽ tiếp tục điều hành chính sách tiền tệ theo hướng chủ động linh hoạt nhưng duy trì mặt bằng lãi suất thấp hỗ trợ phục hồi kinh tế. Tuy nhiên, xu hướng nâng lãi suất điều hành của các ngân hàng trung ương toàn cầu trong năm 2022 để đối mặt với áp lực lạm phát tăng cao cũng có thể tác động đến mặt bằng lãi suất và khiến cho thị trường Trái phiếu chính phủ Việt Nam càng trở nên rủi ro hơn trong năm 2022. </w:t>
      </w:r>
    </w:p>
    <w:p w14:paraId="6BFD7089" w14:textId="579B191F" w:rsidR="00DF533C" w:rsidRDefault="000053CD" w:rsidP="000053C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ab/>
      </w:r>
      <w:r w:rsidRPr="000053CD">
        <w:rPr>
          <w:rFonts w:ascii="Times New Roman" w:hAnsi="Times New Roman"/>
          <w:sz w:val="24"/>
          <w:szCs w:val="24"/>
          <w:lang w:val="nl-NL"/>
        </w:rPr>
        <w:t>Kênh trái phiếu doanh nghiệp đang ngày càng khẳng định vai trò quan trọng trong việc khai thông nguồn vốn của doanh nghiệp, khi tín dụng ngân hàng trung và dài hạn khó có dư địa tăng trưởng mạnh để đáp ứng nhu cầu vốn của doanh nghiệp. Tuy nhiên một số cá nhân tổ chức đã lợi dụng chính sách khuyến khích phát triển thị trường trái phiếu nhằm phát hành các loại trái phiếu kém chất lượng gây rủi ro cho thị trường và các nhà đầu tư. Cơ quan quản lý nhà nước hiện đang tích cực kiểm soát hoạt động này nhằm giúp cho thị trường phát triển lành mạnh hơn trong dài hạn.</w:t>
      </w:r>
    </w:p>
    <w:p w14:paraId="0A8EE993" w14:textId="77777777" w:rsidR="000053CD" w:rsidRDefault="000053CD" w:rsidP="000053CD">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79124B67" w:rsidR="00BE6F63" w:rsidRPr="00A90AB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458D1">
        <w:rPr>
          <w:rFonts w:ascii="Times New Roman" w:hAnsi="Times New Roman"/>
          <w:b/>
          <w:sz w:val="24"/>
          <w:szCs w:val="24"/>
          <w:lang w:val="nl-NL"/>
        </w:rPr>
        <w:t>6</w:t>
      </w:r>
      <w:r w:rsidR="00BE6F63" w:rsidRPr="00B458D1">
        <w:rPr>
          <w:rFonts w:ascii="Times New Roman" w:hAnsi="Times New Roman"/>
          <w:b/>
          <w:sz w:val="24"/>
          <w:szCs w:val="24"/>
          <w:lang w:val="nl-NL"/>
        </w:rPr>
        <w:t>. Thông tin khác</w:t>
      </w:r>
    </w:p>
    <w:p w14:paraId="72FF594F" w14:textId="277B0325" w:rsidR="00062055" w:rsidRPr="005858BC"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5858BC">
        <w:rPr>
          <w:rFonts w:ascii="Times New Roman" w:hAnsi="Times New Roman"/>
          <w:b/>
          <w:bCs/>
          <w:sz w:val="24"/>
          <w:szCs w:val="24"/>
          <w:lang w:val="nl-NL"/>
        </w:rPr>
        <w:t xml:space="preserve">6.1. </w:t>
      </w:r>
      <w:r w:rsidR="00E92263" w:rsidRPr="005858BC">
        <w:rPr>
          <w:rFonts w:ascii="Times New Roman" w:hAnsi="Times New Roman"/>
          <w:b/>
          <w:bCs/>
          <w:sz w:val="24"/>
          <w:szCs w:val="24"/>
          <w:lang w:val="nl-NL"/>
        </w:rPr>
        <w:t>Ban điều hành Công ty quản lý Quỹ</w:t>
      </w:r>
      <w:r w:rsidR="005F16E8" w:rsidRPr="005858BC">
        <w:rPr>
          <w:rFonts w:ascii="Times New Roman" w:hAnsi="Times New Roman"/>
          <w:b/>
          <w:bCs/>
          <w:sz w:val="24"/>
          <w:szCs w:val="24"/>
          <w:lang w:val="nl-NL"/>
        </w:rPr>
        <w:t xml:space="preserve"> </w:t>
      </w:r>
      <w:r w:rsidR="00062055" w:rsidRPr="005858BC">
        <w:rPr>
          <w:rFonts w:ascii="Times New Roman" w:hAnsi="Times New Roman"/>
          <w:b/>
          <w:bCs/>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A90AB7" w14:paraId="06984D68" w14:textId="77777777" w:rsidTr="0083372E">
        <w:tc>
          <w:tcPr>
            <w:tcW w:w="2970" w:type="dxa"/>
          </w:tcPr>
          <w:p w14:paraId="6EEB7466" w14:textId="77777777" w:rsidR="00DF533C" w:rsidRPr="00DF533C" w:rsidRDefault="00DF533C" w:rsidP="00DF533C">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59DD5D85" w14:textId="77777777" w:rsidR="00DF533C" w:rsidRPr="00DF533C" w:rsidRDefault="00DF533C" w:rsidP="00DF533C">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1C59A9E2" w14:textId="77777777" w:rsidR="00DF533C" w:rsidRPr="00DF533C" w:rsidRDefault="00DF533C" w:rsidP="00DF533C">
            <w:pPr>
              <w:pStyle w:val="ListParagraph"/>
              <w:tabs>
                <w:tab w:val="left" w:pos="540"/>
              </w:tabs>
              <w:ind w:left="0"/>
              <w:rPr>
                <w:rFonts w:ascii="Times New Roman" w:hAnsi="Times New Roman"/>
                <w:iCs/>
                <w:sz w:val="24"/>
                <w:szCs w:val="24"/>
                <w:lang w:val="nl-NL"/>
              </w:rPr>
            </w:pPr>
          </w:p>
          <w:p w14:paraId="08D79F84" w14:textId="77777777" w:rsidR="00DF533C" w:rsidRPr="00DF533C"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73EE8D32" w14:textId="77777777" w:rsidR="00DF533C" w:rsidRPr="00DF533C"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21ABB44C"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53308846"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07E8B5E8"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05973BE8"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15E1F6B8"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18C2B69B"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48430894" w14:textId="14DB9513" w:rsidR="00DF533C" w:rsidRPr="00DF533C" w:rsidRDefault="00DF533C" w:rsidP="00DF533C">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66095E62" w:rsidR="00DF533C" w:rsidRPr="00DF533C" w:rsidRDefault="00DF533C" w:rsidP="00DF533C">
            <w:pPr>
              <w:tabs>
                <w:tab w:val="left" w:pos="706"/>
              </w:tabs>
              <w:spacing w:before="120" w:after="0"/>
              <w:rPr>
                <w:rFonts w:ascii="Times New Roman" w:hAnsi="Times New Roman"/>
                <w:sz w:val="24"/>
                <w:szCs w:val="24"/>
                <w:lang w:val="nl-NL"/>
              </w:rPr>
            </w:pPr>
            <w:r w:rsidRPr="00DF533C">
              <w:rPr>
                <w:rFonts w:ascii="Times New Roman" w:hAnsi="Times New Roman"/>
                <w:sz w:val="24"/>
                <w:szCs w:val="24"/>
                <w:lang w:val="nl-NL"/>
              </w:rPr>
              <w:t xml:space="preserve">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w:t>
            </w:r>
            <w:r w:rsidRPr="00DF533C">
              <w:rPr>
                <w:rFonts w:ascii="Times New Roman" w:hAnsi="Times New Roman"/>
                <w:sz w:val="24"/>
                <w:szCs w:val="24"/>
                <w:lang w:val="nl-NL"/>
              </w:rPr>
              <w:lastRenderedPageBreak/>
              <w:t>năm kinh nghiệm tại Công ty TNHH Quản lý Quỹ Eastspring Investments (trước đó có tên là Công ty Trách nhiệm Hữu hạn Quản lý Quỹ Prudential Việt Nam).</w:t>
            </w:r>
          </w:p>
        </w:tc>
      </w:tr>
      <w:tr w:rsidR="00DF533C" w:rsidRPr="00A90AB7" w14:paraId="1AAD9BAC" w14:textId="77777777" w:rsidTr="005E549F">
        <w:tc>
          <w:tcPr>
            <w:tcW w:w="2970" w:type="dxa"/>
          </w:tcPr>
          <w:p w14:paraId="3F25DE4E" w14:textId="77777777" w:rsidR="00DF533C" w:rsidRPr="00DF533C" w:rsidRDefault="00DF533C" w:rsidP="00DF533C">
            <w:pPr>
              <w:pStyle w:val="ListParagraph"/>
              <w:tabs>
                <w:tab w:val="left" w:pos="540"/>
              </w:tabs>
              <w:ind w:left="0"/>
              <w:rPr>
                <w:rFonts w:ascii="Times New Roman" w:hAnsi="Times New Roman"/>
                <w:b/>
                <w:iCs/>
                <w:sz w:val="24"/>
                <w:szCs w:val="24"/>
                <w:lang w:val="nl-NL"/>
              </w:rPr>
            </w:pPr>
            <w:r w:rsidRPr="00DF533C">
              <w:rPr>
                <w:rFonts w:ascii="Times New Roman" w:hAnsi="Times New Roman"/>
                <w:b/>
                <w:bCs/>
                <w:iCs/>
                <w:sz w:val="24"/>
                <w:szCs w:val="24"/>
                <w:lang w:val="nl-NL"/>
              </w:rPr>
              <w:lastRenderedPageBreak/>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Masafumi Takeshita</w:t>
            </w:r>
          </w:p>
          <w:p w14:paraId="3BAE3522" w14:textId="2ACE2337" w:rsidR="00DF533C" w:rsidRPr="00DF533C"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iCs/>
                <w:sz w:val="24"/>
                <w:szCs w:val="24"/>
                <w:lang w:val="nl-NL"/>
              </w:rPr>
              <w:t>Phó Giám đốc, Trưởng Bộ phận Kế hoạch Công ty và Quản trị Rủi ro</w:t>
            </w:r>
          </w:p>
        </w:tc>
        <w:tc>
          <w:tcPr>
            <w:tcW w:w="6390" w:type="dxa"/>
          </w:tcPr>
          <w:p w14:paraId="78470A1E" w14:textId="77777777" w:rsidR="00DF533C" w:rsidRPr="00DF533C"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585C2166"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sĩ Kinh tế, Đại học Hitotsubashi, Nhật Bản;</w:t>
            </w:r>
          </w:p>
          <w:p w14:paraId="617A33AC"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CMA level 2, Hiệp hội phân tích chứng khoán Nhật Bản (SAAJ).</w:t>
            </w:r>
          </w:p>
          <w:p w14:paraId="05BBDBD0" w14:textId="77777777" w:rsidR="00DF533C" w:rsidRPr="00DF533C" w:rsidRDefault="00DF533C" w:rsidP="00DF533C">
            <w:pPr>
              <w:spacing w:before="120" w:after="0"/>
              <w:ind w:hanging="18"/>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5391A2B" w14:textId="1076C9E5" w:rsidR="00DF533C" w:rsidRPr="00DF533C" w:rsidRDefault="00DF533C" w:rsidP="00DF533C">
            <w:pPr>
              <w:spacing w:before="120" w:after="0"/>
              <w:ind w:hanging="18"/>
              <w:rPr>
                <w:rFonts w:ascii="Times New Roman" w:hAnsi="Times New Roman"/>
                <w:sz w:val="24"/>
                <w:szCs w:val="24"/>
                <w:lang w:val="nl-NL"/>
              </w:rPr>
            </w:pPr>
            <w:r w:rsidRPr="00DF533C">
              <w:rPr>
                <w:rFonts w:ascii="Times New Roman" w:hAnsi="Times New Roman"/>
                <w:sz w:val="24"/>
                <w:szCs w:val="24"/>
                <w:lang w:val="nl-NL"/>
              </w:rPr>
              <w:t>Ông đã có mười (10) năm kinh nghiệm làm việc và nghiên cứu trong lĩnh vực tài chính, bảo hiểm, đầu tư ở nước ngoài. 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Trước đó, ông đã có thời gian làm việc tại bộ phận phân tích của Ngân hàng Mizuho – Chi nhánh Singapore.</w:t>
            </w:r>
          </w:p>
        </w:tc>
      </w:tr>
      <w:tr w:rsidR="00DF533C" w:rsidRPr="00A90AB7" w14:paraId="6F543997" w14:textId="77777777" w:rsidTr="005E549F">
        <w:tc>
          <w:tcPr>
            <w:tcW w:w="2970" w:type="dxa"/>
          </w:tcPr>
          <w:p w14:paraId="76EFE513" w14:textId="77777777" w:rsidR="00DF533C" w:rsidRPr="00DF533C" w:rsidRDefault="00DF533C" w:rsidP="00DF533C">
            <w:pPr>
              <w:pStyle w:val="ListParagraph"/>
              <w:tabs>
                <w:tab w:val="left" w:pos="540"/>
              </w:tabs>
              <w:ind w:left="0"/>
              <w:rPr>
                <w:rFonts w:ascii="Times New Roman" w:hAnsi="Times New Roman"/>
                <w:sz w:val="24"/>
                <w:szCs w:val="24"/>
                <w:lang w:val="nl-NL"/>
              </w:rPr>
            </w:pPr>
            <w:r w:rsidRPr="00DF533C">
              <w:rPr>
                <w:rFonts w:ascii="Times New Roman" w:hAnsi="Times New Roman"/>
                <w:b/>
                <w:bCs/>
                <w:iCs/>
                <w:sz w:val="24"/>
                <w:szCs w:val="24"/>
                <w:lang w:val="nl-NL"/>
              </w:rPr>
              <w:t>Ông Đặng</w:t>
            </w:r>
            <w:r w:rsidRPr="00DF533C">
              <w:rPr>
                <w:rFonts w:ascii="Times New Roman" w:hAnsi="Times New Roman"/>
                <w:b/>
                <w:sz w:val="24"/>
                <w:szCs w:val="24"/>
                <w:lang w:val="nl-NL"/>
              </w:rPr>
              <w:t xml:space="preserve"> Vị Thanh</w:t>
            </w:r>
            <w:r w:rsidRPr="00DF533C">
              <w:rPr>
                <w:rFonts w:ascii="Times New Roman" w:hAnsi="Times New Roman"/>
                <w:sz w:val="24"/>
                <w:szCs w:val="24"/>
                <w:lang w:val="nl-NL"/>
              </w:rPr>
              <w:t>,</w:t>
            </w:r>
          </w:p>
          <w:p w14:paraId="37AF3A83" w14:textId="6C33F5F2" w:rsidR="00DF533C" w:rsidRPr="00DF533C"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sz w:val="24"/>
                <w:szCs w:val="24"/>
                <w:lang w:val="nl-NL"/>
              </w:rPr>
              <w:t>Phó Giám đốc, Trưởng Bộ phận Phát triển Kinh doanh</w:t>
            </w:r>
          </w:p>
        </w:tc>
        <w:tc>
          <w:tcPr>
            <w:tcW w:w="6390" w:type="dxa"/>
          </w:tcPr>
          <w:p w14:paraId="6753E64D" w14:textId="77777777" w:rsidR="00DF533C" w:rsidRPr="00DF533C" w:rsidRDefault="00DF533C" w:rsidP="00DF533C">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18B6F33D"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Cử nhân Kinh tế Thương mại, Đại học Kinh tế Thành phố Hồ Chí Minh, </w:t>
            </w:r>
          </w:p>
          <w:p w14:paraId="3D9E27C7"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Anh ngữ, Đại học Mở Thành phố Hồ Chí Minh;</w:t>
            </w:r>
          </w:p>
          <w:p w14:paraId="7768D51B"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Quốc tế chuyên ngành Bảo hiểm Nhân thọ: Fellowship, Life Management Institue (FLMI);  </w:t>
            </w:r>
          </w:p>
          <w:p w14:paraId="0BC46885"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Chứng chỉ hành nghề Quản lý Quỹ của Ủy ban Chứng khoán Nhà nước.</w:t>
            </w:r>
          </w:p>
          <w:p w14:paraId="234869AA" w14:textId="77777777" w:rsidR="00DF533C" w:rsidRPr="00DF533C" w:rsidRDefault="00DF533C" w:rsidP="00DF533C">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C0A5263" w14:textId="77777777" w:rsidR="00DF533C" w:rsidRPr="00DF533C" w:rsidRDefault="00DF533C" w:rsidP="00DF533C">
            <w:pPr>
              <w:pStyle w:val="ListParagraph"/>
              <w:tabs>
                <w:tab w:val="left" w:pos="540"/>
              </w:tabs>
              <w:spacing w:before="120" w:after="0"/>
              <w:ind w:left="0"/>
              <w:jc w:val="both"/>
              <w:rPr>
                <w:rFonts w:ascii="Times New Roman" w:hAnsi="Times New Roman"/>
                <w:sz w:val="24"/>
                <w:szCs w:val="24"/>
                <w:lang w:val="nl-NL"/>
              </w:rPr>
            </w:pPr>
            <w:r w:rsidRPr="00DF533C">
              <w:rPr>
                <w:rFonts w:ascii="Times New Roman" w:hAnsi="Times New Roman"/>
                <w:sz w:val="24"/>
                <w:szCs w:val="24"/>
                <w:lang w:val="nl-NL"/>
              </w:rPr>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p w14:paraId="277930DC" w14:textId="206F426C" w:rsidR="00DF533C" w:rsidRPr="00DF533C" w:rsidRDefault="00DF533C" w:rsidP="00DF533C">
            <w:pPr>
              <w:tabs>
                <w:tab w:val="left" w:pos="706"/>
              </w:tabs>
              <w:spacing w:before="120" w:line="240" w:lineRule="auto"/>
              <w:jc w:val="both"/>
              <w:rPr>
                <w:rFonts w:ascii="Times New Roman" w:hAnsi="Times New Roman"/>
                <w:sz w:val="24"/>
                <w:szCs w:val="24"/>
                <w:lang w:val="nl-NL"/>
              </w:rPr>
            </w:pPr>
          </w:p>
        </w:tc>
      </w:tr>
    </w:tbl>
    <w:p w14:paraId="3BCAEBF7" w14:textId="77777777" w:rsidR="00572F1B" w:rsidRPr="00A90AB7"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0507C269" w:rsidR="00E92263" w:rsidRPr="005858BC"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Pr>
          <w:rFonts w:ascii="Times New Roman" w:hAnsi="Times New Roman"/>
          <w:b/>
          <w:bCs/>
          <w:sz w:val="24"/>
          <w:szCs w:val="24"/>
          <w:lang w:val="nl-NL"/>
        </w:rPr>
        <w:lastRenderedPageBreak/>
        <w:t>6.2.</w:t>
      </w:r>
      <w:r w:rsidR="00315A8E" w:rsidRPr="005858BC">
        <w:rPr>
          <w:rFonts w:ascii="Times New Roman" w:hAnsi="Times New Roman"/>
          <w:b/>
          <w:bCs/>
          <w:sz w:val="24"/>
          <w:szCs w:val="24"/>
          <w:lang w:val="nl-NL"/>
        </w:rPr>
        <w:t xml:space="preserve"> </w:t>
      </w:r>
      <w:r w:rsidR="00BE1598" w:rsidRPr="005858BC">
        <w:rPr>
          <w:rFonts w:ascii="Times New Roman" w:hAnsi="Times New Roman"/>
          <w:b/>
          <w:bCs/>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A90AB7" w14:paraId="59D5C2CB" w14:textId="77777777" w:rsidTr="0083372E">
        <w:tc>
          <w:tcPr>
            <w:tcW w:w="2970" w:type="dxa"/>
          </w:tcPr>
          <w:p w14:paraId="7678AB80" w14:textId="77777777" w:rsidR="00DF533C" w:rsidRPr="00DF533C" w:rsidRDefault="00DF533C" w:rsidP="00DF533C">
            <w:pPr>
              <w:pStyle w:val="ListParagraph"/>
              <w:tabs>
                <w:tab w:val="left" w:pos="540"/>
              </w:tabs>
              <w:ind w:left="0"/>
              <w:rPr>
                <w:rFonts w:ascii="Times New Roman" w:hAnsi="Times New Roman"/>
                <w:b/>
                <w:sz w:val="24"/>
                <w:szCs w:val="24"/>
                <w:lang w:val="nl-NL"/>
              </w:rPr>
            </w:pPr>
            <w:r w:rsidRPr="00DF533C">
              <w:rPr>
                <w:rFonts w:ascii="Times New Roman" w:hAnsi="Times New Roman"/>
                <w:b/>
                <w:bCs/>
                <w:iCs/>
                <w:sz w:val="24"/>
                <w:szCs w:val="24"/>
                <w:lang w:val="nl-NL"/>
              </w:rPr>
              <w:t xml:space="preserve">Bà </w:t>
            </w:r>
            <w:r w:rsidRPr="00DF533C">
              <w:rPr>
                <w:rFonts w:ascii="Times New Roman" w:hAnsi="Times New Roman"/>
                <w:b/>
                <w:sz w:val="24"/>
                <w:szCs w:val="24"/>
                <w:lang w:val="nl-NL"/>
              </w:rPr>
              <w:t>Trần Thị Thu Hà,</w:t>
            </w:r>
          </w:p>
          <w:p w14:paraId="33F3DDEF" w14:textId="0E5854E6" w:rsidR="00DF533C" w:rsidRPr="00DF533C"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bCs/>
                <w:sz w:val="24"/>
                <w:szCs w:val="24"/>
                <w:lang w:val="nl-NL"/>
              </w:rPr>
              <w:t>Phó</w:t>
            </w:r>
            <w:r w:rsidRPr="00DF533C">
              <w:rPr>
                <w:rFonts w:ascii="Times New Roman" w:hAnsi="Times New Roman"/>
                <w:iCs/>
                <w:sz w:val="24"/>
                <w:szCs w:val="24"/>
                <w:lang w:val="nl-NL"/>
              </w:rPr>
              <w:t xml:space="preserve"> Giám đốc Đầu tư</w:t>
            </w:r>
          </w:p>
        </w:tc>
        <w:tc>
          <w:tcPr>
            <w:tcW w:w="6390" w:type="dxa"/>
          </w:tcPr>
          <w:p w14:paraId="223E0894" w14:textId="77777777" w:rsidR="00DF533C" w:rsidRPr="00DF533C" w:rsidRDefault="00DF533C" w:rsidP="00DF533C">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40DBDD9F"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Thạc sỹ Tài chính Ngân hàng của Trường Đại học khoa học Ứng dụng Tây Bắc Thụy Sỹ;</w:t>
            </w:r>
          </w:p>
          <w:p w14:paraId="4DD1FE05"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ab/>
              <w:t>Cử nhân Quản trị kinh doanh – Đại học Mở Thành phố Hồ Chí Minh;</w:t>
            </w:r>
          </w:p>
          <w:p w14:paraId="0C0AD6D1"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ab/>
              <w:t>Chứng chỉ hành nghề Quản lý Quỹ của Ủy ban Chứng khoán Nhà nước.</w:t>
            </w:r>
          </w:p>
          <w:p w14:paraId="16DFD0F7" w14:textId="77777777" w:rsidR="00DF533C" w:rsidRPr="00DF533C" w:rsidRDefault="00DF533C" w:rsidP="00DF533C">
            <w:pPr>
              <w:pStyle w:val="ListParagraph"/>
              <w:tabs>
                <w:tab w:val="left" w:pos="281"/>
              </w:tabs>
              <w:spacing w:before="120" w:after="0"/>
              <w:ind w:left="295"/>
              <w:jc w:val="both"/>
              <w:rPr>
                <w:rFonts w:ascii="Times New Roman" w:hAnsi="Times New Roman"/>
                <w:sz w:val="24"/>
                <w:szCs w:val="24"/>
                <w:lang w:val="nl-NL"/>
              </w:rPr>
            </w:pPr>
          </w:p>
          <w:p w14:paraId="236060AF" w14:textId="77777777" w:rsidR="00DF533C" w:rsidRPr="00DF533C"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4C7FB1D3" w14:textId="49D15921" w:rsidR="00DF533C" w:rsidRPr="00DF533C"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DF533C">
              <w:rPr>
                <w:rFonts w:ascii="Times New Roman" w:hAnsi="Times New Roman"/>
                <w:bCs/>
                <w:iCs/>
                <w:sz w:val="24"/>
                <w:szCs w:val="24"/>
                <w:lang w:val="nl-NL"/>
              </w:rPr>
              <w:t xml:space="preserve">Bà đã có hơn mười lăm (15) năm kinh nghiệm trong lĩnh vực tài chính, trong đó hơn mười (10)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 </w:t>
            </w:r>
          </w:p>
        </w:tc>
      </w:tr>
      <w:tr w:rsidR="00DF533C" w:rsidRPr="00A90AB7" w14:paraId="3AD01E93" w14:textId="77777777" w:rsidTr="0083372E">
        <w:tc>
          <w:tcPr>
            <w:tcW w:w="2970" w:type="dxa"/>
          </w:tcPr>
          <w:p w14:paraId="4CB98C93" w14:textId="77777777" w:rsidR="00DF533C" w:rsidRPr="00DF533C" w:rsidRDefault="00DF533C" w:rsidP="00DF533C">
            <w:pPr>
              <w:pStyle w:val="ListParagraph"/>
              <w:tabs>
                <w:tab w:val="left" w:pos="540"/>
              </w:tabs>
              <w:spacing w:before="120"/>
              <w:ind w:left="0"/>
              <w:jc w:val="both"/>
              <w:rPr>
                <w:rFonts w:ascii="Times New Roman" w:hAnsi="Times New Roman"/>
                <w:sz w:val="24"/>
                <w:szCs w:val="24"/>
                <w:lang w:val="nl-NL"/>
              </w:rPr>
            </w:pPr>
            <w:r w:rsidRPr="00DF533C">
              <w:rPr>
                <w:rFonts w:ascii="Times New Roman" w:hAnsi="Times New Roman"/>
                <w:b/>
                <w:bCs/>
                <w:iCs/>
                <w:sz w:val="24"/>
                <w:szCs w:val="24"/>
                <w:lang w:val="nl-NL"/>
              </w:rPr>
              <w:t>Bà</w:t>
            </w:r>
            <w:r w:rsidRPr="00DF533C">
              <w:rPr>
                <w:rFonts w:ascii="Times New Roman" w:hAnsi="Times New Roman"/>
                <w:i/>
                <w:sz w:val="24"/>
                <w:szCs w:val="24"/>
                <w:lang w:val="nl-NL"/>
              </w:rPr>
              <w:t xml:space="preserve"> </w:t>
            </w:r>
            <w:r w:rsidRPr="00DF533C">
              <w:rPr>
                <w:rFonts w:ascii="Times New Roman" w:hAnsi="Times New Roman"/>
                <w:b/>
                <w:bCs/>
                <w:sz w:val="24"/>
                <w:szCs w:val="24"/>
                <w:lang w:val="nl-NL"/>
              </w:rPr>
              <w:t>Khuất Thị Thu Hiền</w:t>
            </w:r>
            <w:r w:rsidRPr="00DF533C">
              <w:rPr>
                <w:rFonts w:ascii="Times New Roman" w:hAnsi="Times New Roman"/>
                <w:b/>
                <w:sz w:val="24"/>
                <w:szCs w:val="24"/>
                <w:lang w:val="nl-NL"/>
              </w:rPr>
              <w:t>,</w:t>
            </w:r>
          </w:p>
          <w:p w14:paraId="7E95BEBC" w14:textId="0552CD6E" w:rsidR="00DF533C" w:rsidRPr="00DF533C"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sz w:val="24"/>
                <w:szCs w:val="24"/>
                <w:lang w:val="nl-NL"/>
              </w:rPr>
              <w:t>Phụ trách hoạt động giao dịch chứng khoán</w:t>
            </w:r>
          </w:p>
        </w:tc>
        <w:tc>
          <w:tcPr>
            <w:tcW w:w="6390" w:type="dxa"/>
          </w:tcPr>
          <w:p w14:paraId="0C2D40F1" w14:textId="77777777" w:rsidR="00DF533C" w:rsidRPr="00DF533C" w:rsidRDefault="00DF533C" w:rsidP="00DF533C">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3F21099C"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Đại học Kinh tế Thành phố Hồ Chí Minh, chuyên ngành Kế toán – Kiểm toán;</w:t>
            </w:r>
          </w:p>
          <w:p w14:paraId="717A7804" w14:textId="77777777" w:rsidR="00DF533C" w:rsidRPr="00DF533C"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Phân tích tài chính CFA của Học viện CFA (Mỹ) bậc 1;</w:t>
            </w:r>
          </w:p>
          <w:p w14:paraId="025B2333" w14:textId="77777777" w:rsidR="00DF533C" w:rsidRPr="00DF533C"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ab/>
              <w:t>Chứng chỉ hành nghề Quản lý Quỹ của Ủy ban Chứng khoán Nhà nước.</w:t>
            </w:r>
          </w:p>
          <w:p w14:paraId="7D6204CF" w14:textId="77777777" w:rsidR="00DF533C" w:rsidRPr="00DF533C" w:rsidRDefault="00DF533C" w:rsidP="00DF533C">
            <w:pPr>
              <w:pStyle w:val="ListParagraph"/>
              <w:tabs>
                <w:tab w:val="left" w:pos="281"/>
              </w:tabs>
              <w:spacing w:before="120" w:after="0"/>
              <w:ind w:left="295"/>
              <w:jc w:val="both"/>
              <w:rPr>
                <w:rFonts w:ascii="Times New Roman" w:hAnsi="Times New Roman"/>
                <w:sz w:val="24"/>
                <w:szCs w:val="24"/>
                <w:lang w:val="nl-NL"/>
              </w:rPr>
            </w:pPr>
          </w:p>
          <w:p w14:paraId="345F7CA0" w14:textId="77777777" w:rsidR="00DF533C" w:rsidRPr="00DF533C"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4E3CE79B" w14:textId="77777777" w:rsidR="00DF533C" w:rsidRPr="00DF533C"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DF533C">
              <w:rPr>
                <w:rFonts w:ascii="Times New Roman" w:hAnsi="Times New Roman"/>
                <w:bCs/>
                <w:iCs/>
                <w:sz w:val="24"/>
                <w:szCs w:val="24"/>
                <w:lang w:val="nl-NL"/>
              </w:rPr>
              <w:t xml:space="preserve">Bà đã có trên mười một (11) năm kinh nghiệm trong lĩnh vực chứng khoán. Trong đó có hơn ba (3) năm kinh nghiệm và giữ chức vụ phụ trách hoạt động giao dịch chứng khoán của Công ty TNHH MTV Quản lý Quỹ Dai-ichi Life Việt Nam. Trước khi gia nhập Công ty TNHH MTV Quản lý Quỹ Dai-ichi Life Việt Nam, bà đã có tám (8) năm kinh nghiệm làm việc trong lĩnh vực môi giới chứng khoán tại Công ty TNHH Chứng khoán Mirae Asset Việt Nam, một công ty chứng khoán có vốn đầu tư nước ngoài được sở hữu bởi Công ty Chứng khoán Mirae Asset (Hồng </w:t>
            </w:r>
            <w:r w:rsidRPr="00DF533C">
              <w:rPr>
                <w:rFonts w:ascii="Times New Roman" w:hAnsi="Times New Roman"/>
                <w:bCs/>
                <w:iCs/>
                <w:sz w:val="24"/>
                <w:szCs w:val="24"/>
                <w:lang w:val="nl-NL"/>
              </w:rPr>
              <w:lastRenderedPageBreak/>
              <w:t xml:space="preserve">Kông), thành viên của Tập đoàn Tài chính Mirae Asset (Hàn Quốc). </w:t>
            </w:r>
          </w:p>
          <w:p w14:paraId="48853F09" w14:textId="549FA943" w:rsidR="00DF533C" w:rsidRPr="00DF533C" w:rsidRDefault="00DF533C" w:rsidP="00DF533C">
            <w:pPr>
              <w:spacing w:before="60" w:after="60"/>
              <w:jc w:val="both"/>
              <w:rPr>
                <w:rFonts w:ascii="Times New Roman" w:hAnsi="Times New Roman"/>
                <w:sz w:val="24"/>
                <w:szCs w:val="24"/>
              </w:rPr>
            </w:pP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3D8CAA21" w:rsidR="00BE1598" w:rsidRPr="005858BC"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Pr>
          <w:rFonts w:ascii="Times New Roman" w:hAnsi="Times New Roman"/>
          <w:b/>
          <w:bCs/>
          <w:sz w:val="24"/>
          <w:szCs w:val="24"/>
          <w:lang w:val="nl-NL"/>
        </w:rPr>
        <w:t>6.3.</w:t>
      </w:r>
      <w:r w:rsidR="004C7F20" w:rsidRPr="005858BC">
        <w:rPr>
          <w:rFonts w:ascii="Times New Roman" w:hAnsi="Times New Roman"/>
          <w:b/>
          <w:bCs/>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A90AB7" w14:paraId="73433A03" w14:textId="77777777" w:rsidTr="0083372E">
        <w:tc>
          <w:tcPr>
            <w:tcW w:w="2970" w:type="dxa"/>
          </w:tcPr>
          <w:p w14:paraId="51654A88" w14:textId="77777777" w:rsidR="00DF533C" w:rsidRPr="00DF533C" w:rsidRDefault="00DF533C" w:rsidP="00DF533C">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35E93573" w:rsidR="00DF533C" w:rsidRPr="00DF533C" w:rsidRDefault="00DF533C" w:rsidP="00DF533C">
            <w:pPr>
              <w:spacing w:after="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744CA105" w14:textId="77777777" w:rsidR="00DF533C" w:rsidRPr="00DF533C" w:rsidRDefault="00DF533C" w:rsidP="00DF533C">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6B46D098" w:rsidR="00DF533C" w:rsidRPr="00DF533C" w:rsidRDefault="00DF533C" w:rsidP="00DF533C">
            <w:pPr>
              <w:rPr>
                <w:rFonts w:ascii="Times New Roman" w:hAnsi="Times New Roman"/>
                <w:sz w:val="24"/>
                <w:szCs w:val="24"/>
                <w:lang w:val="nl-NL"/>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DF533C" w:rsidRPr="00A90AB7" w14:paraId="288605CE" w14:textId="77777777" w:rsidTr="0083372E">
        <w:tc>
          <w:tcPr>
            <w:tcW w:w="2970" w:type="dxa"/>
          </w:tcPr>
          <w:p w14:paraId="308196FB" w14:textId="77777777" w:rsidR="00DF533C" w:rsidRPr="00DF533C" w:rsidRDefault="00DF533C" w:rsidP="00DF533C">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7689EF53" w:rsidR="00DF533C" w:rsidRPr="00DF533C" w:rsidRDefault="00DF533C" w:rsidP="00DF533C">
            <w:pPr>
              <w:spacing w:after="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729DED0B" w14:textId="77777777" w:rsidR="00DF533C" w:rsidRPr="00DF533C" w:rsidRDefault="00DF533C" w:rsidP="00DF533C">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0117A67D" w14:textId="77777777" w:rsidR="00DF533C" w:rsidRPr="00DF533C" w:rsidRDefault="00DF533C" w:rsidP="00DF533C">
            <w:pPr>
              <w:rPr>
                <w:rFonts w:ascii="Times New Roman" w:hAnsi="Times New Roman"/>
                <w:sz w:val="24"/>
                <w:szCs w:val="24"/>
                <w:lang w:val="nl-NL"/>
              </w:rPr>
            </w:pPr>
            <w:r w:rsidRPr="00DF533C">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16BD37CE" w:rsidR="00DF533C" w:rsidRPr="00DF533C" w:rsidRDefault="00DF533C" w:rsidP="00DF533C">
            <w:pPr>
              <w:rPr>
                <w:rFonts w:ascii="Times New Roman" w:hAnsi="Times New Roman"/>
                <w:sz w:val="24"/>
                <w:szCs w:val="24"/>
                <w:lang w:val="nl-NL"/>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DF533C" w:rsidRPr="00A90AB7" w14:paraId="1FAC4175" w14:textId="77777777" w:rsidTr="0083372E">
        <w:tc>
          <w:tcPr>
            <w:tcW w:w="2970" w:type="dxa"/>
          </w:tcPr>
          <w:p w14:paraId="0FB1BE10" w14:textId="77777777" w:rsidR="00DF533C" w:rsidRPr="00DF533C" w:rsidRDefault="00DF533C" w:rsidP="00DF533C">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30D53625" w:rsidR="00DF533C" w:rsidRPr="00DF533C" w:rsidRDefault="00DF533C" w:rsidP="00DF533C">
            <w:pPr>
              <w:spacing w:after="0"/>
              <w:jc w:val="both"/>
              <w:rPr>
                <w:rFonts w:ascii="Times New Roman" w:hAnsi="Times New Roman"/>
                <w:sz w:val="24"/>
                <w:szCs w:val="24"/>
              </w:rPr>
            </w:pPr>
            <w:proofErr w:type="spellStart"/>
            <w:r w:rsidRPr="00DF533C">
              <w:rPr>
                <w:rFonts w:ascii="Times New Roman" w:hAnsi="Times New Roman"/>
                <w:iCs/>
                <w:sz w:val="24"/>
                <w:szCs w:val="24"/>
              </w:rPr>
              <w:t>Thành</w:t>
            </w:r>
            <w:proofErr w:type="spellEnd"/>
            <w:r w:rsidRPr="00DF533C">
              <w:rPr>
                <w:rFonts w:ascii="Times New Roman" w:hAnsi="Times New Roman"/>
                <w:iCs/>
                <w:sz w:val="24"/>
                <w:szCs w:val="24"/>
              </w:rPr>
              <w:t xml:space="preserve"> </w:t>
            </w:r>
            <w:proofErr w:type="spellStart"/>
            <w:r w:rsidRPr="00DF533C">
              <w:rPr>
                <w:rFonts w:ascii="Times New Roman" w:hAnsi="Times New Roman"/>
                <w:iCs/>
                <w:sz w:val="24"/>
                <w:szCs w:val="24"/>
              </w:rPr>
              <w:t>viên</w:t>
            </w:r>
            <w:proofErr w:type="spellEnd"/>
          </w:p>
        </w:tc>
        <w:tc>
          <w:tcPr>
            <w:tcW w:w="6390" w:type="dxa"/>
          </w:tcPr>
          <w:p w14:paraId="315DE8A1" w14:textId="77777777" w:rsidR="00DF533C" w:rsidRPr="00DF533C" w:rsidRDefault="00DF533C" w:rsidP="00DF533C">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21CFF766" w14:textId="77777777" w:rsidR="00DF533C" w:rsidRPr="00DF533C" w:rsidRDefault="00DF533C" w:rsidP="00DF533C">
            <w:pPr>
              <w:rPr>
                <w:rFonts w:ascii="Times New Roman" w:hAnsi="Times New Roman"/>
                <w:sz w:val="24"/>
                <w:szCs w:val="24"/>
              </w:rPr>
            </w:pPr>
            <w:proofErr w:type="spellStart"/>
            <w:r w:rsidRPr="00DF533C">
              <w:rPr>
                <w:rFonts w:ascii="Times New Roman" w:hAnsi="Times New Roman"/>
                <w:sz w:val="24"/>
                <w:szCs w:val="24"/>
              </w:rPr>
              <w:lastRenderedPageBreak/>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Việt</w:t>
            </w:r>
            <w:proofErr w:type="spellEnd"/>
            <w:r w:rsidRPr="00DF533C">
              <w:rPr>
                <w:rFonts w:ascii="Times New Roman" w:hAnsi="Times New Roman"/>
                <w:sz w:val="24"/>
                <w:szCs w:val="24"/>
              </w:rPr>
              <w:t xml:space="preserve">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7412928E" w:rsidR="00DF533C" w:rsidRPr="00DF533C" w:rsidRDefault="00DF533C" w:rsidP="00DF533C">
            <w:pPr>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Thương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Trường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Đoàn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w:t>
            </w:r>
            <w:proofErr w:type="spellEnd"/>
            <w:r w:rsidRPr="00DF533C">
              <w:rPr>
                <w:rFonts w:ascii="Times New Roman" w:hAnsi="Times New Roman"/>
                <w:sz w:val="24"/>
                <w:szCs w:val="24"/>
              </w:rPr>
              <w:t xml:space="preserve"> Minh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hội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Châu</w:t>
            </w:r>
            <w:proofErr w:type="spellEnd"/>
            <w:r w:rsidRPr="00DF533C">
              <w:rPr>
                <w:rFonts w:ascii="Times New Roman" w:hAnsi="Times New Roman"/>
                <w:sz w:val="24"/>
                <w:szCs w:val="24"/>
              </w:rPr>
              <w:t xml:space="preserve"> Á </w:t>
            </w:r>
            <w:proofErr w:type="spellStart"/>
            <w:r w:rsidRPr="00DF533C">
              <w:rPr>
                <w:rFonts w:ascii="Times New Roman" w:hAnsi="Times New Roman"/>
                <w:sz w:val="24"/>
                <w:szCs w:val="24"/>
              </w:rPr>
              <w:t>Thái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Dương</w:t>
            </w:r>
            <w:proofErr w:type="spellEnd"/>
            <w:r w:rsidRPr="00DF533C">
              <w:rPr>
                <w:rFonts w:ascii="Times New Roman" w:hAnsi="Times New Roman"/>
                <w:sz w:val="24"/>
                <w:szCs w:val="24"/>
              </w:rPr>
              <w:t>.</w:t>
            </w:r>
          </w:p>
        </w:tc>
      </w:tr>
    </w:tbl>
    <w:p w14:paraId="0B24B535" w14:textId="5CF9F161"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lastRenderedPageBreak/>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591B50">
        <w:rPr>
          <w:rFonts w:ascii="Times New Roman" w:eastAsia="Times New Roman" w:hAnsi="Times New Roman"/>
          <w:i/>
          <w:sz w:val="24"/>
          <w:szCs w:val="24"/>
          <w:lang w:val="nl-NL"/>
        </w:rPr>
        <w:t>14</w:t>
      </w:r>
      <w:r w:rsidRPr="00A90AB7">
        <w:rPr>
          <w:rFonts w:ascii="Times New Roman" w:eastAsia="Times New Roman" w:hAnsi="Times New Roman"/>
          <w:i/>
          <w:sz w:val="24"/>
          <w:szCs w:val="24"/>
          <w:lang w:val="nl-NL"/>
        </w:rPr>
        <w:t xml:space="preserve"> tháng </w:t>
      </w:r>
      <w:r w:rsidR="003C29FC">
        <w:rPr>
          <w:rFonts w:ascii="Times New Roman" w:eastAsia="Times New Roman" w:hAnsi="Times New Roman"/>
          <w:i/>
          <w:sz w:val="24"/>
          <w:szCs w:val="24"/>
          <w:lang w:val="nl-NL"/>
        </w:rPr>
        <w:t>0</w:t>
      </w:r>
      <w:r w:rsidR="00591B50">
        <w:rPr>
          <w:rFonts w:ascii="Times New Roman" w:eastAsia="Times New Roman" w:hAnsi="Times New Roman"/>
          <w:i/>
          <w:sz w:val="24"/>
          <w:szCs w:val="24"/>
          <w:lang w:val="nl-NL"/>
        </w:rPr>
        <w:t>4</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3C29FC">
        <w:rPr>
          <w:rFonts w:ascii="Times New Roman" w:eastAsia="Times New Roman" w:hAnsi="Times New Roman"/>
          <w:i/>
          <w:sz w:val="24"/>
          <w:szCs w:val="24"/>
          <w:lang w:val="nl-NL"/>
        </w:rPr>
        <w:t>2</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366595B5" w14:textId="0B4F644C" w:rsidR="00B17BB1"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7FC76E9A" w14:textId="20EB1697" w:rsidR="002E4941"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A90AB7"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1"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5"/>
  </w:num>
  <w:num w:numId="5" w16cid:durableId="703869931">
    <w:abstractNumId w:val="14"/>
  </w:num>
  <w:num w:numId="6" w16cid:durableId="619924051">
    <w:abstractNumId w:val="3"/>
  </w:num>
  <w:num w:numId="7" w16cid:durableId="485123547">
    <w:abstractNumId w:val="12"/>
  </w:num>
  <w:num w:numId="8" w16cid:durableId="805858946">
    <w:abstractNumId w:val="11"/>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3"/>
  </w:num>
  <w:num w:numId="15" w16cid:durableId="534853972">
    <w:abstractNumId w:val="0"/>
  </w:num>
  <w:num w:numId="16" w16cid:durableId="2067296686">
    <w:abstractNumId w:val="10"/>
  </w:num>
  <w:num w:numId="17" w16cid:durableId="1861624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56F20"/>
    <w:rsid w:val="000600E0"/>
    <w:rsid w:val="00062055"/>
    <w:rsid w:val="00087AE7"/>
    <w:rsid w:val="00091CAB"/>
    <w:rsid w:val="000C014D"/>
    <w:rsid w:val="000C4474"/>
    <w:rsid w:val="000C79F8"/>
    <w:rsid w:val="000D074B"/>
    <w:rsid w:val="000D3A01"/>
    <w:rsid w:val="000E3B0B"/>
    <w:rsid w:val="000E5FE9"/>
    <w:rsid w:val="000F2123"/>
    <w:rsid w:val="000F33CC"/>
    <w:rsid w:val="000F601D"/>
    <w:rsid w:val="00116153"/>
    <w:rsid w:val="00123825"/>
    <w:rsid w:val="001247A8"/>
    <w:rsid w:val="00131315"/>
    <w:rsid w:val="00137C1F"/>
    <w:rsid w:val="00151BC4"/>
    <w:rsid w:val="001660FB"/>
    <w:rsid w:val="0017714B"/>
    <w:rsid w:val="001966AE"/>
    <w:rsid w:val="001B0B30"/>
    <w:rsid w:val="001B1BE2"/>
    <w:rsid w:val="001B784B"/>
    <w:rsid w:val="001C4B96"/>
    <w:rsid w:val="001D49A9"/>
    <w:rsid w:val="001E3A51"/>
    <w:rsid w:val="001E40A2"/>
    <w:rsid w:val="001E4811"/>
    <w:rsid w:val="00220EA1"/>
    <w:rsid w:val="002243DA"/>
    <w:rsid w:val="002333C6"/>
    <w:rsid w:val="00244C64"/>
    <w:rsid w:val="00245818"/>
    <w:rsid w:val="0026620B"/>
    <w:rsid w:val="0028333D"/>
    <w:rsid w:val="002841FF"/>
    <w:rsid w:val="002A14C7"/>
    <w:rsid w:val="002D4C06"/>
    <w:rsid w:val="002E1952"/>
    <w:rsid w:val="002E4941"/>
    <w:rsid w:val="002E6ADD"/>
    <w:rsid w:val="0031000A"/>
    <w:rsid w:val="00312536"/>
    <w:rsid w:val="00315A8E"/>
    <w:rsid w:val="00324B82"/>
    <w:rsid w:val="003329D6"/>
    <w:rsid w:val="003355C3"/>
    <w:rsid w:val="00363C83"/>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94F7E"/>
    <w:rsid w:val="004C3F63"/>
    <w:rsid w:val="004C7F20"/>
    <w:rsid w:val="004D0EF7"/>
    <w:rsid w:val="004E41BD"/>
    <w:rsid w:val="00503EB5"/>
    <w:rsid w:val="0052162A"/>
    <w:rsid w:val="00521F76"/>
    <w:rsid w:val="00523419"/>
    <w:rsid w:val="0052502D"/>
    <w:rsid w:val="0053737B"/>
    <w:rsid w:val="00551946"/>
    <w:rsid w:val="00551DCB"/>
    <w:rsid w:val="00572F1B"/>
    <w:rsid w:val="005858BC"/>
    <w:rsid w:val="0058767D"/>
    <w:rsid w:val="00591B50"/>
    <w:rsid w:val="005A23DB"/>
    <w:rsid w:val="005A265A"/>
    <w:rsid w:val="005A4E9C"/>
    <w:rsid w:val="005C0B11"/>
    <w:rsid w:val="005E4081"/>
    <w:rsid w:val="005E549F"/>
    <w:rsid w:val="005F16E8"/>
    <w:rsid w:val="005F188A"/>
    <w:rsid w:val="005F772D"/>
    <w:rsid w:val="00631DA1"/>
    <w:rsid w:val="0064290A"/>
    <w:rsid w:val="006750E8"/>
    <w:rsid w:val="00676F73"/>
    <w:rsid w:val="00677949"/>
    <w:rsid w:val="006902A3"/>
    <w:rsid w:val="006A5246"/>
    <w:rsid w:val="006B2F2D"/>
    <w:rsid w:val="006D6A1B"/>
    <w:rsid w:val="006F7015"/>
    <w:rsid w:val="00701DBC"/>
    <w:rsid w:val="00713CC7"/>
    <w:rsid w:val="00736123"/>
    <w:rsid w:val="00747879"/>
    <w:rsid w:val="00753C12"/>
    <w:rsid w:val="00756A76"/>
    <w:rsid w:val="00763691"/>
    <w:rsid w:val="00764C46"/>
    <w:rsid w:val="007808C8"/>
    <w:rsid w:val="00792A48"/>
    <w:rsid w:val="007A2D4E"/>
    <w:rsid w:val="007B289D"/>
    <w:rsid w:val="007C5B05"/>
    <w:rsid w:val="008001E9"/>
    <w:rsid w:val="00804BBD"/>
    <w:rsid w:val="00807726"/>
    <w:rsid w:val="00816829"/>
    <w:rsid w:val="00826BB2"/>
    <w:rsid w:val="00830EAF"/>
    <w:rsid w:val="0083372E"/>
    <w:rsid w:val="00860234"/>
    <w:rsid w:val="00860A96"/>
    <w:rsid w:val="008707C6"/>
    <w:rsid w:val="008731A7"/>
    <w:rsid w:val="008939A1"/>
    <w:rsid w:val="008971AB"/>
    <w:rsid w:val="008D629B"/>
    <w:rsid w:val="008E75CF"/>
    <w:rsid w:val="008F2B2D"/>
    <w:rsid w:val="008F3818"/>
    <w:rsid w:val="00912E19"/>
    <w:rsid w:val="00922567"/>
    <w:rsid w:val="0093157F"/>
    <w:rsid w:val="0093357C"/>
    <w:rsid w:val="00935B7F"/>
    <w:rsid w:val="009648A6"/>
    <w:rsid w:val="0096793F"/>
    <w:rsid w:val="00971F5D"/>
    <w:rsid w:val="0097528B"/>
    <w:rsid w:val="00981F7A"/>
    <w:rsid w:val="00982758"/>
    <w:rsid w:val="00985B28"/>
    <w:rsid w:val="0099238D"/>
    <w:rsid w:val="009A387A"/>
    <w:rsid w:val="009A6DFD"/>
    <w:rsid w:val="009B2282"/>
    <w:rsid w:val="009C5637"/>
    <w:rsid w:val="009D7171"/>
    <w:rsid w:val="009F4856"/>
    <w:rsid w:val="009F4E9A"/>
    <w:rsid w:val="00A04A2C"/>
    <w:rsid w:val="00A05C91"/>
    <w:rsid w:val="00A27B9B"/>
    <w:rsid w:val="00A377D1"/>
    <w:rsid w:val="00A42F64"/>
    <w:rsid w:val="00A474F7"/>
    <w:rsid w:val="00A6592B"/>
    <w:rsid w:val="00A85A99"/>
    <w:rsid w:val="00A85E80"/>
    <w:rsid w:val="00A90AB7"/>
    <w:rsid w:val="00A9573B"/>
    <w:rsid w:val="00A96A59"/>
    <w:rsid w:val="00AA40C7"/>
    <w:rsid w:val="00AB3434"/>
    <w:rsid w:val="00AB46A2"/>
    <w:rsid w:val="00AB604A"/>
    <w:rsid w:val="00AC398E"/>
    <w:rsid w:val="00AD411A"/>
    <w:rsid w:val="00AE0267"/>
    <w:rsid w:val="00AE3720"/>
    <w:rsid w:val="00AF7018"/>
    <w:rsid w:val="00B00350"/>
    <w:rsid w:val="00B0433F"/>
    <w:rsid w:val="00B10F95"/>
    <w:rsid w:val="00B11087"/>
    <w:rsid w:val="00B16AFD"/>
    <w:rsid w:val="00B17BB1"/>
    <w:rsid w:val="00B31181"/>
    <w:rsid w:val="00B32217"/>
    <w:rsid w:val="00B32E8D"/>
    <w:rsid w:val="00B354D5"/>
    <w:rsid w:val="00B458D1"/>
    <w:rsid w:val="00B6043B"/>
    <w:rsid w:val="00B63DD9"/>
    <w:rsid w:val="00B83A7D"/>
    <w:rsid w:val="00B97429"/>
    <w:rsid w:val="00B97B26"/>
    <w:rsid w:val="00BA4D7F"/>
    <w:rsid w:val="00BC67FC"/>
    <w:rsid w:val="00BD079F"/>
    <w:rsid w:val="00BE1598"/>
    <w:rsid w:val="00BE6F63"/>
    <w:rsid w:val="00BF44CF"/>
    <w:rsid w:val="00BF6F51"/>
    <w:rsid w:val="00C20E83"/>
    <w:rsid w:val="00C326B2"/>
    <w:rsid w:val="00C3684A"/>
    <w:rsid w:val="00C41CA6"/>
    <w:rsid w:val="00C5103F"/>
    <w:rsid w:val="00C527C7"/>
    <w:rsid w:val="00C5765C"/>
    <w:rsid w:val="00C6695F"/>
    <w:rsid w:val="00CA76CF"/>
    <w:rsid w:val="00CC67A1"/>
    <w:rsid w:val="00CD495C"/>
    <w:rsid w:val="00D10122"/>
    <w:rsid w:val="00D11DF9"/>
    <w:rsid w:val="00D135E8"/>
    <w:rsid w:val="00D55232"/>
    <w:rsid w:val="00D66826"/>
    <w:rsid w:val="00D85C46"/>
    <w:rsid w:val="00DA101D"/>
    <w:rsid w:val="00DA30AE"/>
    <w:rsid w:val="00DC1FD1"/>
    <w:rsid w:val="00DF533C"/>
    <w:rsid w:val="00E0018A"/>
    <w:rsid w:val="00E0138A"/>
    <w:rsid w:val="00E03D4B"/>
    <w:rsid w:val="00E11368"/>
    <w:rsid w:val="00E24141"/>
    <w:rsid w:val="00E32BB9"/>
    <w:rsid w:val="00E37404"/>
    <w:rsid w:val="00E41DE8"/>
    <w:rsid w:val="00E47954"/>
    <w:rsid w:val="00E53446"/>
    <w:rsid w:val="00E630D3"/>
    <w:rsid w:val="00E74ED3"/>
    <w:rsid w:val="00E75C22"/>
    <w:rsid w:val="00E92101"/>
    <w:rsid w:val="00E92263"/>
    <w:rsid w:val="00E95030"/>
    <w:rsid w:val="00EA03A4"/>
    <w:rsid w:val="00EA3973"/>
    <w:rsid w:val="00EB6AB2"/>
    <w:rsid w:val="00EB7C98"/>
    <w:rsid w:val="00EC1DDD"/>
    <w:rsid w:val="00ED1DF2"/>
    <w:rsid w:val="00ED4A9C"/>
    <w:rsid w:val="00EE2193"/>
    <w:rsid w:val="00EE3F61"/>
    <w:rsid w:val="00EF41E2"/>
    <w:rsid w:val="00F00511"/>
    <w:rsid w:val="00F01A1F"/>
    <w:rsid w:val="00F04EB6"/>
    <w:rsid w:val="00F23C43"/>
    <w:rsid w:val="00F72260"/>
    <w:rsid w:val="00F977B5"/>
    <w:rsid w:val="00FA0348"/>
    <w:rsid w:val="00FA2A53"/>
    <w:rsid w:val="00FB33CA"/>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225706239972116E-2"/>
          <c:y val="0.13169997402587963"/>
          <c:w val="0.85940961695285645"/>
          <c:h val="0.78592711533208426"/>
        </c:manualLayout>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cat>
            <c:numRef>
              <c:f>Chart!$A$2:$A$80</c:f>
              <c:numCache>
                <c:formatCode>[$-409]d\-mmm\-yy;@</c:formatCode>
                <c:ptCount val="79"/>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numCache>
            </c:numRef>
          </c:cat>
          <c:val>
            <c:numRef>
              <c:f>Chart!$B$2:$B$80</c:f>
              <c:numCache>
                <c:formatCode>_(* #,##0.00_);_(* \(#,##0.00\);_(* "-"??_);_(@_)</c:formatCode>
                <c:ptCount val="79"/>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numCache>
            </c:numRef>
          </c:val>
          <c:smooth val="0"/>
          <c:extLst>
            <c:ext xmlns:c16="http://schemas.microsoft.com/office/drawing/2014/chart" uri="{C3380CC4-5D6E-409C-BE32-E72D297353CC}">
              <c16:uniqueId val="{00000000-20AC-4C8E-B4A7-848D140D5BD9}"/>
            </c:ext>
          </c:extLst>
        </c:ser>
        <c:ser>
          <c:idx val="1"/>
          <c:order val="1"/>
          <c:tx>
            <c:strRef>
              <c:f>Chart!$C$1</c:f>
              <c:strCache>
                <c:ptCount val="1"/>
                <c:pt idx="0">
                  <c:v>INDEX</c:v>
                </c:pt>
              </c:strCache>
            </c:strRef>
          </c:tx>
          <c:spPr>
            <a:ln w="38100" cap="rnd">
              <a:solidFill>
                <a:schemeClr val="accent2"/>
              </a:solidFill>
              <a:round/>
            </a:ln>
            <a:effectLst/>
          </c:spPr>
          <c:marker>
            <c:symbol val="none"/>
          </c:marker>
          <c:cat>
            <c:numRef>
              <c:f>Chart!$A$2:$A$80</c:f>
              <c:numCache>
                <c:formatCode>[$-409]d\-mmm\-yy;@</c:formatCode>
                <c:ptCount val="79"/>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numCache>
            </c:numRef>
          </c:cat>
          <c:val>
            <c:numRef>
              <c:f>Chart!$C$2:$C$18</c:f>
            </c:numRef>
          </c:val>
          <c:smooth val="0"/>
          <c:extLst>
            <c:ext xmlns:c16="http://schemas.microsoft.com/office/drawing/2014/chart" uri="{C3380CC4-5D6E-409C-BE32-E72D297353CC}">
              <c16:uniqueId val="{00000001-20AC-4C8E-B4A7-848D140D5BD9}"/>
            </c:ext>
          </c:extLst>
        </c:ser>
        <c:ser>
          <c:idx val="2"/>
          <c:order val="2"/>
          <c:tx>
            <c:strRef>
              <c:f>Chart!$D$1</c:f>
              <c:strCache>
                <c:ptCount val="1"/>
                <c:pt idx="0">
                  <c:v>P vs Index</c:v>
                </c:pt>
              </c:strCache>
            </c:strRef>
          </c:tx>
          <c:spPr>
            <a:ln w="38100" cap="rnd">
              <a:solidFill>
                <a:schemeClr val="accent3"/>
              </a:solidFill>
              <a:round/>
            </a:ln>
            <a:effectLst/>
          </c:spPr>
          <c:marker>
            <c:symbol val="none"/>
          </c:marker>
          <c:cat>
            <c:numRef>
              <c:f>Chart!$A$2:$A$80</c:f>
              <c:numCache>
                <c:formatCode>[$-409]d\-mmm\-yy;@</c:formatCode>
                <c:ptCount val="79"/>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numCache>
            </c:numRef>
          </c:cat>
          <c:val>
            <c:numRef>
              <c:f>Chart!$D$2:$D$18</c:f>
            </c:numRef>
          </c:val>
          <c:smooth val="0"/>
          <c:extLst>
            <c:ext xmlns:c16="http://schemas.microsoft.com/office/drawing/2014/chart" uri="{C3380CC4-5D6E-409C-BE32-E72D297353CC}">
              <c16:uniqueId val="{00000002-20AC-4C8E-B4A7-848D140D5BD9}"/>
            </c:ext>
          </c:extLst>
        </c:ser>
        <c:dLbls>
          <c:showLegendKey val="0"/>
          <c:showVal val="0"/>
          <c:showCatName val="0"/>
          <c:showSerName val="0"/>
          <c:showPercent val="0"/>
          <c:showBubbleSize val="0"/>
        </c:dLbls>
        <c:smooth val="0"/>
        <c:axId val="528596872"/>
        <c:axId val="518169832"/>
      </c:lineChart>
      <c:dateAx>
        <c:axId val="528596872"/>
        <c:scaling>
          <c:orientation val="minMax"/>
          <c:min val="44228"/>
        </c:scaling>
        <c:delete val="0"/>
        <c:axPos val="b"/>
        <c:numFmt formatCode="[$-409]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ax val="10180"/>
          <c:min val="99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10"/>
        <c:min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+5eqU66I4oUdZBYpTPhSAUk3MqU=</DigestValue>
    </Reference>
    <Reference Type="http://www.w3.org/2000/09/xmldsig#Object" URI="#idOfficeObject">
      <DigestMethod Algorithm="http://www.w3.org/2000/09/xmldsig#sha1"/>
      <DigestValue>aF5FDmJIpki9nzJ2YSqwwUUyKHM=</DigestValue>
    </Reference>
    <Reference Type="http://uri.etsi.org/01903#SignedProperties" URI="#idSignedProperties">
      <Transforms>
        <Transform Algorithm="http://www.w3.org/TR/2001/REC-xml-c14n-20010315"/>
      </Transforms>
      <DigestMethod Algorithm="http://www.w3.org/2000/09/xmldsig#sha1"/>
      <DigestValue>0TG2Mqt+vXMcFqRQHvau/2fKvnM=</DigestValue>
    </Reference>
  </SignedInfo>
  <SignatureValue>KS7MPZQ+yWgyBjjZS6Fx1JFIhio2juyoHcIOAwV7jT5LHSiZlV7Ty5RkVXVgQjOzd7rpnpHhCXt+
8c1luQsF6otTcAyw8H52Nl8dGb8fJFdFI+F247VB2ptypcuN7TzE5UlyvKcCvUE81HknKWJtmlPw
piuQQoEQYr2kNQUnS80=</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DRHA/GCbjO1n4R7mETatHGze/7A=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inbqI0bIFsqHBQSifmgWxygvN5k=</DigestValue>
      </Reference>
      <Reference URI="/word/charts/chart1.xml?ContentType=application/vnd.openxmlformats-officedocument.drawingml.chart+xml">
        <DigestMethod Algorithm="http://www.w3.org/2000/09/xmldsig#sha1"/>
        <DigestValue>2u+O1+qJ4G/WysD4rociby82c0A=</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6bzgoxBJHKUT1e0QR8CMGkvDdr8=</DigestValue>
      </Reference>
      <Reference URI="/word/document.xml?ContentType=application/vnd.openxmlformats-officedocument.wordprocessingml.document.main+xml">
        <DigestMethod Algorithm="http://www.w3.org/2000/09/xmldsig#sha1"/>
        <DigestValue>dr4ajIX0EMQvykYptrxFKmDFBQE=</DigestValue>
      </Reference>
      <Reference URI="/word/fontTable.xml?ContentType=application/vnd.openxmlformats-officedocument.wordprocessingml.fontTable+xml">
        <DigestMethod Algorithm="http://www.w3.org/2000/09/xmldsig#sha1"/>
        <DigestValue>mvbr9XjLQ4nB+cdNtDhb6FaZxGo=</DigestValue>
      </Reference>
      <Reference URI="/word/numbering.xml?ContentType=application/vnd.openxmlformats-officedocument.wordprocessingml.numbering+xml">
        <DigestMethod Algorithm="http://www.w3.org/2000/09/xmldsig#sha1"/>
        <DigestValue>E++gM3UvklO2aXFoj5Gn1UOIkzw=</DigestValue>
      </Reference>
      <Reference URI="/word/settings.xml?ContentType=application/vnd.openxmlformats-officedocument.wordprocessingml.settings+xml">
        <DigestMethod Algorithm="http://www.w3.org/2000/09/xmldsig#sha1"/>
        <DigestValue>aBsXpVLA2XDz02+6grAOiIbAjwQ=</DigestValue>
      </Reference>
      <Reference URI="/word/styles.xml?ContentType=application/vnd.openxmlformats-officedocument.wordprocessingml.styles+xml">
        <DigestMethod Algorithm="http://www.w3.org/2000/09/xmldsig#sha1"/>
        <DigestValue>yXF0evKVkz7vU1yR8g0o85dh/7A=</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KsJGApRMIHtgGLJ7tks94uDsgSw=</DigestValue>
      </Reference>
    </Manifest>
    <SignatureProperties>
      <SignatureProperty Id="idSignatureTime" Target="#idPackageSignature">
        <mdssi:SignatureTime xmlns:mdssi="http://schemas.openxmlformats.org/package/2006/digital-signature">
          <mdssi:Format>YYYY-MM-DDThh:mm:ssTZD</mdssi:Format>
          <mdssi:Value>2022-04-15T09:59:33Z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16.0.15028/23</OfficeVersion>
          <ApplicationVersion>16.0.15028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2022-04-15T09:59:33Z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3201</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74</cp:revision>
  <dcterms:created xsi:type="dcterms:W3CDTF">2020-10-12T08:01:00Z</dcterms:created>
  <dcterms:modified xsi:type="dcterms:W3CDTF">2022-04-15T09:57:00Z</dcterms:modified>
</cp:coreProperties>
</file>